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Gobernanza de la superinteligencia</w:t>
      </w:r>
      <w:br/>
      <w:hyperlink r:id="rId7" w:history="1">
        <w:r>
          <w:rPr>
            <w:color w:val="2980b9"/>
            <w:u w:val="single"/>
          </w:rPr>
          <w:t xml:space="preserve">https://openai.com/blog/governance-of-superintelligence</w:t>
        </w:r>
      </w:hyperlink>
    </w:p>
    <w:p>
      <w:pPr>
        <w:pStyle w:val="Heading1"/>
      </w:pPr>
      <w:bookmarkStart w:id="2" w:name="_Toc2"/>
      <w:r>
        <w:t>Article summary:</w:t>
      </w:r>
      <w:bookmarkEnd w:id="2"/>
    </w:p>
    <w:p>
      <w:pPr>
        <w:jc w:val="both"/>
      </w:pPr>
      <w:r>
        <w:rPr/>
        <w:t xml:space="preserve">1. La superinteligencia puede ser más poderosa que cualquier otra tecnología y debemos gestionar el riesgo para llegar a un futuro próspero.</w:t>
      </w:r>
    </w:p>
    <w:p>
      <w:pPr>
        <w:jc w:val="both"/>
      </w:pPr>
      <w:r>
        <w:rPr/>
        <w:t xml:space="preserve">2. Necesitamos coordinación entre los principales esfuerzos de desarrollo y una autoridad internacional para inspeccionar sistemas y exigir auditorías.</w:t>
      </w:r>
    </w:p>
    <w:p>
      <w:pPr>
        <w:jc w:val="both"/>
      </w:pPr>
      <w:r>
        <w:rPr/>
        <w:t xml:space="preserve">3. Debemos tener la capacidad técnica para hacer que una superinteligencia sea segura y la gobernanza debe tener una fuerte supervisión pública.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plantea la necesidad de una gobernanza adecuada para la superinteligencia, ya que esta tecnología tiene el potencial de ser más poderosa que cualquier otra tecnología anterior y puede tener riesgos existenciales. El autor sugiere tres puntos importantes para abordar este problema: coordinación entre los principales esfuerzos de desarrollo, una agencia internacional para supervisar los esfuerzos de superinteligencia y la capacidad técnica para hacer que una superinteligencia sea segura.</w:t>
      </w:r>
    </w:p>
    <w:p>
      <w:pPr>
        <w:jc w:val="both"/>
      </w:pPr>
      <w:r>
        <w:rPr/>
        <w:t xml:space="preserve"/>
      </w:r>
    </w:p>
    <w:p>
      <w:pPr>
        <w:jc w:val="both"/>
      </w:pPr>
      <w:r>
        <w:rPr/>
        <w:t xml:space="preserve">En general, el artículo parece bien fundamentado y razonable en su planteamiento. Sin embargo, hay algunas áreas donde se podrían mejorar o explorar más a fondo las ideas presentadas. Por ejemplo, el autor no proporciona evidencia concreta sobre cómo se podría implementar la coordinación entre los principales esfuerzos de desarrollo o cómo se podría establecer una agencia internacional para supervisar los esfuerzos de superinteligencia. Además, aunque el autor menciona que las empresas individuales deben cumplir con un estándar extremadamente alto de actuación responsable, no se discute cómo se podría hacer cumplir este estándar.</w:t>
      </w:r>
    </w:p>
    <w:p>
      <w:pPr>
        <w:jc w:val="both"/>
      </w:pPr>
      <w:r>
        <w:rPr/>
        <w:t xml:space="preserve"/>
      </w:r>
    </w:p>
    <w:p>
      <w:pPr>
        <w:jc w:val="both"/>
      </w:pPr>
      <w:r>
        <w:rPr/>
        <w:t xml:space="preserve">Otro punto a considerar es que el autor parece estar sesgado hacia la perspectiva positiva de la superinteligencia y sus beneficios potenciales. Si bien esto es comprensible dado que trabaja en OpenAI, una organización dedicada al desarrollo seguro de la inteligencia artificial avanzada, también es importante considerar los posibles riesgos y desventajas asociados con esta tecnología. El autor menciona brevemente algunos riesgos existenciales pero no profundiza en ellos ni explora posibles soluciones.</w:t>
      </w:r>
    </w:p>
    <w:p>
      <w:pPr>
        <w:jc w:val="both"/>
      </w:pPr>
      <w:r>
        <w:rPr/>
        <w:t xml:space="preserve"/>
      </w:r>
    </w:p>
    <w:p>
      <w:pPr>
        <w:jc w:val="both"/>
      </w:pPr>
      <w:r>
        <w:rPr/>
        <w:t xml:space="preserve">En cuanto a las fuentes utilizadas en el artículo, el autor hace referencia a la Agencia Internacional de Energía Atómica (OIEA) como un modelo para una agencia internacional de supervisión de la superinteligencia. Sin embargo, no se mencionan otras fuentes o perspectivas que podrían proporcionar una visión más amplia y equilibrada del problema.</w:t>
      </w:r>
    </w:p>
    <w:p>
      <w:pPr>
        <w:jc w:val="both"/>
      </w:pPr>
      <w:r>
        <w:rPr/>
        <w:t xml:space="preserve"/>
      </w:r>
    </w:p>
    <w:p>
      <w:pPr>
        <w:jc w:val="both"/>
      </w:pPr>
      <w:r>
        <w:rPr/>
        <w:t xml:space="preserve">En general, el artículo plantea importantes cuestiones sobre la gobernanza de la superinteligencia y ofrece algunas ideas iniciales para abordarlas. Sin embargo, hay áreas donde se podría mejorar o explorar más a fondo las ideas presentadas y se debe tener en cuenta una perspectiva más equilibrada sobre los posibles riesgos y desventajas asociados con esta tecnología.</w:t>
      </w:r>
    </w:p>
    <w:p>
      <w:pPr>
        <w:pStyle w:val="Heading1"/>
      </w:pPr>
      <w:bookmarkStart w:id="5" w:name="_Toc5"/>
      <w:r>
        <w:t>Topics for further research:</w:t>
      </w:r>
      <w:bookmarkEnd w:id="5"/>
    </w:p>
    <w:p>
      <w:pPr>
        <w:spacing w:after="0"/>
        <w:numPr>
          <w:ilvl w:val="0"/>
          <w:numId w:val="2"/>
        </w:numPr>
      </w:pPr>
      <w:r>
        <w:rPr/>
        <w:t xml:space="preserve">Cómo implementar la coordinación entre los principales esfuerzos de desarrollo de superinteligencia
</w:t>
      </w:r>
    </w:p>
    <w:p>
      <w:pPr>
        <w:spacing w:after="0"/>
        <w:numPr>
          <w:ilvl w:val="0"/>
          <w:numId w:val="2"/>
        </w:numPr>
      </w:pPr>
      <w:r>
        <w:rPr/>
        <w:t xml:space="preserve">Estrategias para hacer cumplir un estándar extremadamente alto de actuación responsable en empresas de superinteligencia
</w:t>
      </w:r>
    </w:p>
    <w:p>
      <w:pPr>
        <w:spacing w:after="0"/>
        <w:numPr>
          <w:ilvl w:val="0"/>
          <w:numId w:val="2"/>
        </w:numPr>
      </w:pPr>
      <w:r>
        <w:rPr/>
        <w:t xml:space="preserve">Riesgos existenciales asociados con la superinteligencia y posibles soluciones
</w:t>
      </w:r>
    </w:p>
    <w:p>
      <w:pPr>
        <w:spacing w:after="0"/>
        <w:numPr>
          <w:ilvl w:val="0"/>
          <w:numId w:val="2"/>
        </w:numPr>
      </w:pPr>
      <w:r>
        <w:rPr/>
        <w:t xml:space="preserve">Perspectivas equilibradas sobre los beneficios y desventajas de la superinteligencia
</w:t>
      </w:r>
    </w:p>
    <w:p>
      <w:pPr>
        <w:spacing w:after="0"/>
        <w:numPr>
          <w:ilvl w:val="0"/>
          <w:numId w:val="2"/>
        </w:numPr>
      </w:pPr>
      <w:r>
        <w:rPr/>
        <w:t xml:space="preserve">Modelos alternativos para una agencia internacional de supervisión de la superinteligencia
</w:t>
      </w:r>
    </w:p>
    <w:p>
      <w:pPr>
        <w:numPr>
          <w:ilvl w:val="0"/>
          <w:numId w:val="2"/>
        </w:numPr>
      </w:pPr>
      <w:r>
        <w:rPr/>
        <w:t xml:space="preserve">Cómo garantizar la seguridad técnica de la superinteligencia</w:t>
      </w:r>
    </w:p>
    <w:p>
      <w:pPr>
        <w:pStyle w:val="Heading1"/>
      </w:pPr>
      <w:bookmarkStart w:id="6" w:name="_Toc6"/>
      <w:r>
        <w:t>Report location:</w:t>
      </w:r>
      <w:bookmarkEnd w:id="6"/>
    </w:p>
    <w:p>
      <w:hyperlink r:id="rId8" w:history="1">
        <w:r>
          <w:rPr>
            <w:color w:val="2980b9"/>
            <w:u w:val="single"/>
          </w:rPr>
          <w:t xml:space="preserve">https://www.fullpicture.app/item/8741a2b635c6bc18045eb164f728d059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C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governance-of-superintelligence" TargetMode="External"/><Relationship Id="rId8" Type="http://schemas.openxmlformats.org/officeDocument/2006/relationships/hyperlink" Target="https://www.fullpicture.app/item/8741a2b635c6bc18045eb164f728d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2023-05-22T21:10:45+02:00</dcterms:created>
  <dcterms:modified xsi:type="dcterms:W3CDTF">2023-05-22T21:10:45+02:00</dcterms:modified>
</cp:coreProperties>
</file>

<file path=docProps/custom.xml><?xml version="1.0" encoding="utf-8"?>
<Properties xmlns="http://schemas.openxmlformats.org/officeDocument/2006/custom-properties" xmlns:vt="http://schemas.openxmlformats.org/officeDocument/2006/docPropsVTypes"/>
</file>