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Aspetar clinical practice guideline on rehabilitation after anterior cruciate ligament reconstruction | British Journal of Sports Medicine</w:t>
      </w:r>
      <w:br/>
      <w:hyperlink r:id="rId7" w:history="1">
        <w:r>
          <w:rPr>
            <w:color w:val="2980b9"/>
            <w:u w:val="single"/>
          </w:rPr>
          <w:t xml:space="preserve">https://bjsm.bmj.com/content/early/2023/02/02/bjsports-2022-106158</w:t>
        </w:r>
      </w:hyperlink>
    </w:p>
    <w:p>
      <w:pPr>
        <w:pStyle w:val="Heading1"/>
      </w:pPr>
      <w:bookmarkStart w:id="2" w:name="_Toc2"/>
      <w:r>
        <w:t>Article summary:</w:t>
      </w:r>
      <w:bookmarkEnd w:id="2"/>
    </w:p>
    <w:p>
      <w:pPr>
        <w:jc w:val="both"/>
      </w:pPr>
      <w:r>
        <w:rPr/>
        <w:t xml:space="preserve">1. Esta diretriz foi desenvolvida para informar a prática clínica na reabilitação após reconstrução do ligamento cruzado anterior (ACLR) e foi realizada de acordo com o instrumento Appraisal of Guidelines for REsearch &amp; Evaluation II (AGREE II) e utilizou a abordagem Grading of Recommendations, Assessment, Development and Evaluation (GRADE).</w:t>
      </w:r>
    </w:p>
    <w:p>
      <w:pPr>
        <w:jc w:val="both"/>
      </w:pPr>
      <w:r>
        <w:rPr/>
        <w:t xml:space="preserve">2. O exercício deve ser considerado o principal tratamento da reabilitação após ACLR. No entanto, há pouca evidência sobre a relação dose-resposta entre volume e / ou intensidade do exercício e resultados.</w:t>
      </w:r>
    </w:p>
    <w:p>
      <w:pPr>
        <w:jc w:val="both"/>
      </w:pPr>
      <w:r>
        <w:rPr/>
        <w:t xml:space="preserve">3. Os critérios de progresso ou descarga antes do retorno ao esporte não estão claros.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artigo é um guia de prática clínica sobre reabilitação após reconstrução do ligamento cruzado anterior (ACLR). Foi desenvolvido por um grupo de desenvolvimento de diretrizes que pesquisou e revisou evidências utilizando ensaios clínicos randomizados e revisões sistemáticas para avaliar a eficácia das intervenções de reabilitação e orientar os clínicos e os pacientes sobre o conteúdo do protocolo ótimo de reabilitação após ACLR. O artigo é escrito por vários autores experientes em ACLR, incluindo médicos ortopedistas, fisioterapeutas, cirurgiões ortopédicos especialistas em medicina esportiva, etc., que também são membros da equipe médica da Aspetar Orthopaedic and Sports Medicine Hospital em Doha, Qatar. O artigo foi publicado no British Journal of Sports Medicine, uma revista científica altamente respeitada na área da saúde esportiva. </w:t>
      </w:r>
    </w:p>
    <w:p>
      <w:pPr>
        <w:jc w:val="both"/>
      </w:pPr>
      <w:r>
        <w:rPr/>
        <w:t xml:space="preserve">O artigo fornece recomendações baseadas em evidências para a reabilitação após ACLR. A maioria das recomendações foram concordadas pelos especialistas clínicos envolvidos no projeto. No entanto, há pouca evidência sobre alguns dos componentes da reabilitação mencionados no artigo, como critérios objetivos de progresso ou descarga antes do retorno ao esporte. Além disso, nenhum dos autores tem interesse financeiro nos produtos mencionados no artigo; portanto, nenhum viés financeiro foi detectado neste estudo. </w:t>
      </w:r>
    </w:p>
    <w:p>
      <w:pPr>
        <w:jc w:val="both"/>
      </w:pPr>
      <w:r>
        <w:rPr/>
        <w:t xml:space="preserve">No geral, este artigo é confiável devido à sua metodologia rigorosa baseada em evidências científicas bem estabelecidas para avaliar as intervenções de reabilitação após ACLR.</w:t>
      </w:r>
    </w:p>
    <w:p>
      <w:pPr>
        <w:pStyle w:val="Heading1"/>
      </w:pPr>
      <w:bookmarkStart w:id="5" w:name="_Toc5"/>
      <w:r>
        <w:t>Topics for further research:</w:t>
      </w:r>
      <w:bookmarkEnd w:id="5"/>
    </w:p>
    <w:p>
      <w:pPr>
        <w:spacing w:after="0"/>
        <w:numPr>
          <w:ilvl w:val="0"/>
          <w:numId w:val="2"/>
        </w:numPr>
      </w:pPr>
      <w:r>
        <w:rPr/>
        <w:t xml:space="preserve">Critérios objetivos de progresso de reabilitação após ACLR</w:t>
      </w:r>
    </w:p>
    <w:p>
      <w:pPr>
        <w:spacing w:after="0"/>
        <w:numPr>
          <w:ilvl w:val="0"/>
          <w:numId w:val="2"/>
        </w:numPr>
      </w:pPr>
      <w:r>
        <w:rPr/>
        <w:t xml:space="preserve">Descarga antes do retorno ao esporte após ACLR</w:t>
      </w:r>
    </w:p>
    <w:p>
      <w:pPr>
        <w:spacing w:after="0"/>
        <w:numPr>
          <w:ilvl w:val="0"/>
          <w:numId w:val="2"/>
        </w:numPr>
      </w:pPr>
      <w:r>
        <w:rPr/>
        <w:t xml:space="preserve">Protocolo ótimo de reabilitação após ACLR</w:t>
      </w:r>
    </w:p>
    <w:p>
      <w:pPr>
        <w:spacing w:after="0"/>
        <w:numPr>
          <w:ilvl w:val="0"/>
          <w:numId w:val="2"/>
        </w:numPr>
      </w:pPr>
      <w:r>
        <w:rPr/>
        <w:t xml:space="preserve">Intervenções de reabilitação após ACLR</w:t>
      </w:r>
    </w:p>
    <w:p>
      <w:pPr>
        <w:spacing w:after="0"/>
        <w:numPr>
          <w:ilvl w:val="0"/>
          <w:numId w:val="2"/>
        </w:numPr>
      </w:pPr>
      <w:r>
        <w:rPr/>
        <w:t xml:space="preserve">Equipe médica da Aspetar Orthopaedic and Sports Medicine Hospital</w:t>
      </w:r>
    </w:p>
    <w:p>
      <w:pPr>
        <w:numPr>
          <w:ilvl w:val="0"/>
          <w:numId w:val="2"/>
        </w:numPr>
      </w:pPr>
      <w:r>
        <w:rPr/>
        <w:t xml:space="preserve">Viés financeiro em estudos de reabilitação após ACLR</w:t>
      </w:r>
    </w:p>
    <w:p>
      <w:pPr>
        <w:pStyle w:val="Heading1"/>
      </w:pPr>
      <w:bookmarkStart w:id="6" w:name="_Toc6"/>
      <w:r>
        <w:t>Report location:</w:t>
      </w:r>
      <w:bookmarkEnd w:id="6"/>
    </w:p>
    <w:p>
      <w:hyperlink r:id="rId8" w:history="1">
        <w:r>
          <w:rPr>
            <w:color w:val="2980b9"/>
            <w:u w:val="single"/>
          </w:rPr>
          <w:t xml:space="preserve">https://www.fullpicture.app/item/89ca8d58cc88182d0ad3292dce16e806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9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jsm.bmj.com/content/early/2023/02/02/bjsports-2022-106158" TargetMode="External"/><Relationship Id="rId8" Type="http://schemas.openxmlformats.org/officeDocument/2006/relationships/hyperlink" Target="https://www.fullpicture.app/item/89ca8d58cc88182d0ad3292dce16e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2023-02-28T01:22:32+01:00</dcterms:created>
  <dcterms:modified xsi:type="dcterms:W3CDTF">2023-02-28T01:22:32+01:00</dcterms:modified>
</cp:coreProperties>
</file>

<file path=docProps/custom.xml><?xml version="1.0" encoding="utf-8"?>
<Properties xmlns="http://schemas.openxmlformats.org/officeDocument/2006/custom-properties" xmlns:vt="http://schemas.openxmlformats.org/officeDocument/2006/docPropsVTypes"/>
</file>