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流感病毒和SARS-CoV-2病毒的抗原特性| 斯普林格鏈接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https://link.springer.com/article/10.1007/s00216-021-03806-6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流感病毒是对公众健康的反复威胁，每年全球约有290,000-650,000例死亡，其中美国每年有约12,000-61,000例死亡。</w:t>
      </w:r>
    </w:p>
    <w:p>
      <w:pPr>
        <w:jc w:val="both"/>
      </w:pPr>
      <w:r>
        <w:rPr/>
        <w:t xml:space="preserve">2. 流感病毒属于正粘病毒科，分为A、B、C型和新出现的D型等四个属，基于它们在核蛋白和基质1蛋白中的抗原性差异。</w:t>
      </w:r>
    </w:p>
    <w:p>
      <w:pPr>
        <w:jc w:val="both"/>
      </w:pPr>
      <w:r>
        <w:rPr/>
        <w:t xml:space="preserve">3. 流感病毒的RNA-dependent RNA polymerase (RdRp)缺乏3'到5'外切酶校对能力，导致突变速率快，并且会发生抗原变异。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作为一篇科学文章，该文的内容相对客观，但也存在一些问题。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首先，文章没有提到流感病毒和SARS-CoV-2病毒之间的比较。虽然标题中提到了两种病毒的抗原特性，但正文中只介绍了流感病毒的相关信息，并没有与SARS-CoV-2进行比较。这可能会给读者留下不完整或片面的印象。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在介绍流感病毒时，使用了大量的专业术语和缩写，可能会让非专业读者难以理解。此外，在介绍流感病毒基因组时，作者并没有说明这些基因对于病毒的生命周期和传播有何影响，也没有探讨它们如何导致抗原变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流感病毒进化和抗原变异时，作者只简单地提到了RNA依赖性RNA聚合酶(RdRp)缺乏3'至5'外切酶校对能力这一点，并未深入探讨这个过程是如何导致抗原变异的。此外，在描述突变速率时，作者只给出了一个范围值，并未说明具体情况下突变速率如何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在介绍流感病毒方面提供了一些有用信息，但也存在一些问题需要改进。作者可以更加详细地解释专业术语和缩写，并探讨基因组如何影响病毒生命周期和传播方式。此外，在描述抗原变异过程时应更加详尽地阐述其机制及影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between influenza virus and SARS-CoV-2
</w:t>
      </w:r>
    </w:p>
    <w:p>
      <w:pPr>
        <w:spacing w:after="0"/>
        <w:numPr>
          <w:ilvl w:val="0"/>
          <w:numId w:val="2"/>
        </w:numPr>
      </w:pPr>
      <w:r>
        <w:rPr/>
        <w:t xml:space="preserve">Explanation of technical terms and abbreviations
</w:t>
      </w:r>
    </w:p>
    <w:p>
      <w:pPr>
        <w:spacing w:after="0"/>
        <w:numPr>
          <w:ilvl w:val="0"/>
          <w:numId w:val="2"/>
        </w:numPr>
      </w:pPr>
      <w:r>
        <w:rPr/>
        <w:t xml:space="preserve">Impact of influenza virus genome on its lifecycle and antigenic variation
</w:t>
      </w:r>
    </w:p>
    <w:p>
      <w:pPr>
        <w:spacing w:after="0"/>
        <w:numPr>
          <w:ilvl w:val="0"/>
          <w:numId w:val="2"/>
        </w:numPr>
      </w:pPr>
      <w:r>
        <w:rPr/>
        <w:t xml:space="preserve">Mechanisms of antigenic variation in influenza virus
</w:t>
      </w:r>
    </w:p>
    <w:p>
      <w:pPr>
        <w:spacing w:after="0"/>
        <w:numPr>
          <w:ilvl w:val="0"/>
          <w:numId w:val="2"/>
        </w:numPr>
      </w:pPr>
      <w:r>
        <w:rPr/>
        <w:t xml:space="preserve">Detailed explanation of how RdRp deficiency leads to antigenic variation
</w:t>
      </w:r>
    </w:p>
    <w:p>
      <w:pPr>
        <w:numPr>
          <w:ilvl w:val="0"/>
          <w:numId w:val="2"/>
        </w:numPr>
      </w:pPr>
      <w:r>
        <w:rPr/>
        <w:t xml:space="preserve">Factors affecting mutation rate in influenza virus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https://www.fullpicture.app/item/89cc5ad7cff4fa8e0b5ea9e84871e639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59A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00216-021-03806-6" TargetMode="External"/><Relationship Id="rId8" Type="http://schemas.openxmlformats.org/officeDocument/2006/relationships/hyperlink" Target="https://www.fullpicture.app/item/89cc5ad7cff4fa8e0b5ea9e84871e6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2024-01-08T02:39:58+01:00</dcterms:created>
  <dcterms:modified xsi:type="dcterms:W3CDTF">2024-01-08T02:39:58+01:00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