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Purine Nucleosides Interfere with c-di-AMP Levels and Act as Adjuvants To Re-Sensitize MRSA To β-Lactam Antibiotics - PMC</w:t>
      </w:r>
      <w:br/>
      <w:hyperlink r:id="rId7" w:history="1">
        <w:r>
          <w:rPr>
            <w:color w:val="2980b9"/>
            <w:u w:val="single"/>
          </w:rPr>
          <w:t xml:space="preserve">https://www.ncbi.nlm.nih.gov/pmc/articles/PMC9973305/</w:t>
        </w:r>
      </w:hyperlink>
    </w:p>
    <w:p>
      <w:pPr>
        <w:pStyle w:val="Heading1"/>
      </w:pPr>
      <w:bookmarkStart w:id="2" w:name="_Toc2"/>
      <w:r>
        <w:t>Article summary:</w:t>
      </w:r>
      <w:bookmarkEnd w:id="2"/>
    </w:p>
    <w:p>
      <w:pPr>
        <w:jc w:val="both"/>
      </w:pPr>
      <w:r>
        <w:rPr/>
        <w:t xml:space="preserve">1. 嘌呤核苷干扰 c-di-AMP 水平，作为辅助剂使 MRSA 重新对 β-内酰胺类抗生素敏感。</w:t>
      </w:r>
    </w:p>
    <w:p>
      <w:pPr>
        <w:jc w:val="both"/>
      </w:pPr>
      <w:r>
        <w:rPr/>
        <w:t xml:space="preserve">2. 外源嘌呤核苷（如鸟苷和黄嘌呤）显著降低 MRSA 对 β-内酰胺类抗生素的抗性。</w:t>
      </w:r>
    </w:p>
    <w:p>
      <w:pPr>
        <w:jc w:val="both"/>
      </w:pPr>
      <w:r>
        <w:rPr/>
        <w:t xml:space="preserve">3. 嘌呤核苷作为辅助剂干扰正常的 c-di-AMP 激活，有望成为治疗 MRSA 的潜在药物。</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这篇文章探讨了嘌呤核苷对耐β-内酰胺类抗生素的耐药性的影响，并提出了使用嘌呤核苷作为辅助剂来重新使MRSA对β-内酰胺类抗生素敏感的可能性。然而，文章存在一些潜在偏见和局限性。</w:t>
      </w:r>
    </w:p>
    <w:p>
      <w:pPr>
        <w:jc w:val="both"/>
      </w:pPr>
      <w:r>
        <w:rPr/>
        <w:t xml:space="preserve"/>
      </w:r>
    </w:p>
    <w:p>
      <w:pPr>
        <w:jc w:val="both"/>
      </w:pPr>
      <w:r>
        <w:rPr/>
        <w:t xml:space="preserve">首先，文章似乎只关注了嘌呤代谢通路对MRSA耐药性的影响，而忽略了其他可能的因素。例如，是否有其他细菌代谢途径或机制也会影响MRSA对抗生素的敏感性？作者没有探讨这一点，导致文章在解释MRSA耐药性形成机制时显得片面。</w:t>
      </w:r>
    </w:p>
    <w:p>
      <w:pPr>
        <w:jc w:val="both"/>
      </w:pPr>
      <w:r>
        <w:rPr/>
        <w:t xml:space="preserve"/>
      </w:r>
    </w:p>
    <w:p>
      <w:pPr>
        <w:jc w:val="both"/>
      </w:pPr>
      <w:r>
        <w:rPr/>
        <w:t xml:space="preserve">其次，文章提出了嘌呤核苷作为辅助剂可以降低MRSA对β-内酰胺类抗生素的耐药性，但并未提供足够的证据支持这一主张。是否进行了足够的实验证明嘌呤核苷确实可以有效地重新使MRSA对抗生素敏感？缺乏充分的实验证据会削弱文章所提出观点的可信度。</w:t>
      </w:r>
    </w:p>
    <w:p>
      <w:pPr>
        <w:jc w:val="both"/>
      </w:pPr>
      <w:r>
        <w:rPr/>
        <w:t xml:space="preserve"/>
      </w:r>
    </w:p>
    <w:p>
      <w:pPr>
        <w:jc w:val="both"/>
      </w:pPr>
      <w:r>
        <w:rPr/>
        <w:t xml:space="preserve">此外，文章没有探讨可能存在的风险或负面效应。使用嘌呤核苷作为辅助剂是否会导致其他不良反应或产生耐药性？作者未对这些潜在风险进行深入讨论，这可能会使读者对该方法的安全性产生疑虑。</w:t>
      </w:r>
    </w:p>
    <w:p>
      <w:pPr>
        <w:jc w:val="both"/>
      </w:pPr>
      <w:r>
        <w:rPr/>
        <w:t xml:space="preserve"/>
      </w:r>
    </w:p>
    <w:p>
      <w:pPr>
        <w:jc w:val="both"/>
      </w:pPr>
      <w:r>
        <w:rPr/>
        <w:t xml:space="preserve">总体而言，尽管该研究提出了一个新颖且有潜力的治疗策略，但其局限性和缺失证据仍需进一步研究和验证。在未来研究中，应该更全面地考虑各种因素，并提供更多实验证据来支持所得结论。</w:t>
      </w:r>
    </w:p>
    <w:p>
      <w:pPr>
        <w:pStyle w:val="Heading1"/>
      </w:pPr>
      <w:bookmarkStart w:id="5" w:name="_Toc5"/>
      <w:r>
        <w:t>Topics for further research:</w:t>
      </w:r>
      <w:bookmarkEnd w:id="5"/>
    </w:p>
    <w:p>
      <w:pPr>
        <w:spacing w:after="0"/>
        <w:numPr>
          <w:ilvl w:val="0"/>
          <w:numId w:val="2"/>
        </w:numPr>
      </w:pPr>
      <w:r>
        <w:rPr/>
        <w:t xml:space="preserve">其他细菌代谢途径对MRSA耐药性的影响
</w:t>
      </w:r>
    </w:p>
    <w:p>
      <w:pPr>
        <w:spacing w:after="0"/>
        <w:numPr>
          <w:ilvl w:val="0"/>
          <w:numId w:val="2"/>
        </w:numPr>
      </w:pPr>
      <w:r>
        <w:rPr/>
        <w:t xml:space="preserve">嘌呤核苷作为辅助剂对MRSA耐药性的实验证据
</w:t>
      </w:r>
    </w:p>
    <w:p>
      <w:pPr>
        <w:spacing w:after="0"/>
        <w:numPr>
          <w:ilvl w:val="0"/>
          <w:numId w:val="2"/>
        </w:numPr>
      </w:pPr>
      <w:r>
        <w:rPr/>
        <w:t xml:space="preserve">使用嘌呤核苷可能存在的风险和负面效应
</w:t>
      </w:r>
    </w:p>
    <w:p>
      <w:pPr>
        <w:spacing w:after="0"/>
        <w:numPr>
          <w:ilvl w:val="0"/>
          <w:numId w:val="2"/>
        </w:numPr>
      </w:pPr>
      <w:r>
        <w:rPr/>
        <w:t xml:space="preserve">未来研究中应考虑的因素
</w:t>
      </w:r>
    </w:p>
    <w:p>
      <w:pPr>
        <w:spacing w:after="0"/>
        <w:numPr>
          <w:ilvl w:val="0"/>
          <w:numId w:val="2"/>
        </w:numPr>
      </w:pPr>
      <w:r>
        <w:rPr/>
        <w:t xml:space="preserve">更全面的研究方法和证据支持
</w:t>
      </w:r>
    </w:p>
    <w:p>
      <w:pPr>
        <w:numPr>
          <w:ilvl w:val="0"/>
          <w:numId w:val="2"/>
        </w:numPr>
      </w:pPr>
      <w:r>
        <w:rPr/>
        <w:t xml:space="preserve">对治疗策略的安全性和有效性的进一步验证</w:t>
      </w:r>
    </w:p>
    <w:p>
      <w:pPr>
        <w:pStyle w:val="Heading1"/>
      </w:pPr>
      <w:bookmarkStart w:id="6" w:name="_Toc6"/>
      <w:r>
        <w:t>Report location:</w:t>
      </w:r>
      <w:bookmarkEnd w:id="6"/>
    </w:p>
    <w:p>
      <w:hyperlink r:id="rId8" w:history="1">
        <w:r>
          <w:rPr>
            <w:color w:val="2980b9"/>
            <w:u w:val="single"/>
          </w:rPr>
          <w:t xml:space="preserve">https://www.fullpicture.app/item/89cddcd3a924b7f5b854ee202b4db378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F1E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973305/" TargetMode="External"/><Relationship Id="rId8" Type="http://schemas.openxmlformats.org/officeDocument/2006/relationships/hyperlink" Target="https://www.fullpicture.app/item/89cddcd3a924b7f5b854ee202b4db3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2024-05-28T08:42:09+02:00</dcterms:created>
  <dcterms:modified xsi:type="dcterms:W3CDTF">2024-05-28T08:42:09+02:00</dcterms:modified>
</cp:coreProperties>
</file>

<file path=docProps/custom.xml><?xml version="1.0" encoding="utf-8"?>
<Properties xmlns="http://schemas.openxmlformats.org/officeDocument/2006/custom-properties" xmlns:vt="http://schemas.openxmlformats.org/officeDocument/2006/docPropsVTypes"/>
</file>