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universal and specific RNA biosensor via DNA circuit-mediated PAM-independent CRISPR/Cas12a and PolyA-rolling circle amplification - ScienceDirect</w:t>
      </w:r>
      <w:br/>
      <w:hyperlink r:id="rId7" w:history="1">
        <w:r>
          <w:rPr>
            <w:color w:val="2980b9"/>
            <w:u w:val="single"/>
          </w:rPr>
          <w:t xml:space="preserve">https://www.sciencedirect.com/science/article/pii/S0956566323000817</w:t>
        </w:r>
      </w:hyperlink>
    </w:p>
    <w:p>
      <w:pPr>
        <w:pStyle w:val="Heading1"/>
      </w:pPr>
      <w:bookmarkStart w:id="2" w:name="_Toc2"/>
      <w:r>
        <w:t>Article summary:</w:t>
      </w:r>
      <w:bookmarkEnd w:id="2"/>
    </w:p>
    <w:p>
      <w:pPr>
        <w:jc w:val="both"/>
      </w:pPr>
      <w:r>
        <w:rPr/>
        <w:t xml:space="preserve">1. This article presents a new DNA circuit-mediated PAM-independent CRISPR/Cas12a coupled PolyA-rolling circle amplification biosensor (DCPRBiosensor) for RNA detection.</w:t>
      </w:r>
    </w:p>
    <w:p>
      <w:pPr>
        <w:jc w:val="both"/>
      </w:pPr>
      <w:r>
        <w:rPr/>
        <w:t xml:space="preserve">2. The DCPRBiosensor is simple, inexpensive, and highly sensitive with innovative specificity and universality features.</w:t>
      </w:r>
    </w:p>
    <w:p>
      <w:pPr>
        <w:jc w:val="both"/>
      </w:pPr>
      <w:r>
        <w:rPr/>
        <w:t xml:space="preserve">3. The DCPRBiosensor was tested for its ability to detect four piRNAs, its discrimination ability for single-base mismatch, and its ability to detect piRNA in DLD-1 and HCT-116 cells and urine mixed samples within 4.5 hours.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new DNA circuit-mediated PAM-independent CRISPR/Cas12a coupled PolyA-rolling circle amplification biosensor (DCPRBiosensor) for RNA detection that is simple, inexpensive, and highly sensitive with innovative specificity and universality features. The article provides evidence of the DCPRBiosensor's effectiveness in detecting four piRNAs, its discrimination ability for single-base mismatch, and its ability to detect piRNA in DLD-1 and HCT-116 cells and urine mixed samples within 4.5 hours. </w:t>
      </w:r>
    </w:p>
    <w:p>
      <w:pPr>
        <w:jc w:val="both"/>
      </w:pPr>
      <w:r>
        <w:rPr/>
        <w:t xml:space="preserve">The article appears to be reliable as it provides evidence of the DCPRBiosensor's effectiveness through testing results. However, there are some potential biases that should be noted when considering the trustworthiness of this article. For example, the authors do not provide any information on possible risks associated with using the DCPRBiosensor or any counterarguments to their claims about the effectiveness of the biosensor. Additionally, there is no discussion of alternative methods or technologies that could be used for similar purposes as the DCPRBiosensor which could lead to a one sided reporting of the technology presented in this article. Furthermore, there is no mention of any potential conflicts of interest that may have influenced the authors’ conclusions or findings which could lead to partiality in their reporting or unsupported claims being made without sufficient evidence provided by the authors. </w:t>
      </w:r>
    </w:p>
    <w:p>
      <w:pPr>
        <w:jc w:val="both"/>
      </w:pPr>
      <w:r>
        <w:rPr/>
        <w:t xml:space="preserve">In conclusion, while this article appears to be reliable due to providing evidence of testing results regarding the effectiveness of the DCPRBiosensor, there are some potential biases that should be taken into consideration when assessing its trustworthiness such as one sided reporting due to lack of discussion on alternative methods or technologies as well as potential conflicts of interest that may have influenced conclusions or findings without being mentioned by authors leading to partiality in their reporting or unsupported claims being made without sufficient evidence provided by them.</w:t>
      </w:r>
    </w:p>
    <w:p>
      <w:pPr>
        <w:pStyle w:val="Heading1"/>
      </w:pPr>
      <w:bookmarkStart w:id="5" w:name="_Toc5"/>
      <w:r>
        <w:t>Topics for further research:</w:t>
      </w:r>
      <w:bookmarkEnd w:id="5"/>
    </w:p>
    <w:p>
      <w:pPr>
        <w:spacing w:after="0"/>
        <w:numPr>
          <w:ilvl w:val="0"/>
          <w:numId w:val="2"/>
        </w:numPr>
      </w:pPr>
      <w:r>
        <w:rPr/>
        <w:t xml:space="preserve">Alternative methods for RNA detection </w:t>
      </w:r>
    </w:p>
    <w:p>
      <w:pPr>
        <w:spacing w:after="0"/>
        <w:numPr>
          <w:ilvl w:val="0"/>
          <w:numId w:val="2"/>
        </w:numPr>
      </w:pPr>
      <w:r>
        <w:rPr/>
        <w:t xml:space="preserve">Potential risks associated with DCPRBiosensor </w:t>
      </w:r>
    </w:p>
    <w:p>
      <w:pPr>
        <w:spacing w:after="0"/>
        <w:numPr>
          <w:ilvl w:val="0"/>
          <w:numId w:val="2"/>
        </w:numPr>
      </w:pPr>
      <w:r>
        <w:rPr/>
        <w:t xml:space="preserve">Conflicts of interest in biosensor research </w:t>
      </w:r>
    </w:p>
    <w:p>
      <w:pPr>
        <w:spacing w:after="0"/>
        <w:numPr>
          <w:ilvl w:val="0"/>
          <w:numId w:val="2"/>
        </w:numPr>
      </w:pPr>
      <w:r>
        <w:rPr/>
        <w:t xml:space="preserve">Single-base mismatch discrimination ability </w:t>
      </w:r>
    </w:p>
    <w:p>
      <w:pPr>
        <w:spacing w:after="0"/>
        <w:numPr>
          <w:ilvl w:val="0"/>
          <w:numId w:val="2"/>
        </w:numPr>
      </w:pPr>
      <w:r>
        <w:rPr/>
        <w:t xml:space="preserve">Detection of piRNA in DLD-1 and HCT-116 cells </w:t>
      </w:r>
    </w:p>
    <w:p>
      <w:pPr>
        <w:numPr>
          <w:ilvl w:val="0"/>
          <w:numId w:val="2"/>
        </w:numPr>
      </w:pPr>
      <w:r>
        <w:rPr/>
        <w:t xml:space="preserve">Detection of piRNA in urine mixed samples</w:t>
      </w:r>
    </w:p>
    <w:p>
      <w:pPr>
        <w:pStyle w:val="Heading1"/>
      </w:pPr>
      <w:bookmarkStart w:id="6" w:name="_Toc6"/>
      <w:r>
        <w:t>Report location:</w:t>
      </w:r>
      <w:bookmarkEnd w:id="6"/>
    </w:p>
    <w:p>
      <w:hyperlink r:id="rId8" w:history="1">
        <w:r>
          <w:rPr>
            <w:color w:val="2980b9"/>
            <w:u w:val="single"/>
          </w:rPr>
          <w:t xml:space="preserve">https://www.fullpicture.app/item/8a4faec8f5f67523027b9fa69bcb9c00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4C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6566323000817" TargetMode="External"/><Relationship Id="rId8" Type="http://schemas.openxmlformats.org/officeDocument/2006/relationships/hyperlink" Target="https://www.fullpicture.app/item/8a4faec8f5f67523027b9fa69bcb9c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2023-02-23T17:45:06+01:00</dcterms:created>
  <dcterms:modified xsi:type="dcterms:W3CDTF">2023-02-23T17:45:06+01:00</dcterms:modified>
</cp:coreProperties>
</file>

<file path=docProps/custom.xml><?xml version="1.0" encoding="utf-8"?>
<Properties xmlns="http://schemas.openxmlformats.org/officeDocument/2006/custom-properties" xmlns:vt="http://schemas.openxmlformats.org/officeDocument/2006/docPropsVTypes"/>
</file>