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Advantages of Single-Nucleus over Single-Cell RNA Sequencing of Adult Kidney: Rare Cell Types and Novel Cell States Revealed in Fibrosis - PubMed</w:t>
      </w:r>
      <w:br/>
      <w:hyperlink r:id="rId7" w:history="1">
        <w:r>
          <w:rPr>
            <w:color w:val="2980b9"/>
            <w:u w:val="single"/>
          </w:rPr>
          <w:t xml:space="preserve">https://pubmed.ncbi.nlm.nih.gov/30510133/</w:t>
        </w:r>
      </w:hyperlink>
    </w:p>
    <w:p>
      <w:pPr>
        <w:pStyle w:val="Heading1"/>
      </w:pPr>
      <w:bookmarkStart w:id="2" w:name="_Toc2"/>
      <w:r>
        <w:t>Article summary:</w:t>
      </w:r>
      <w:bookmarkEnd w:id="2"/>
    </w:p>
    <w:p>
      <w:pPr>
        <w:jc w:val="both"/>
      </w:pPr>
      <w:r>
        <w:rPr/>
        <w:t xml:space="preserve">1. Single-nucleus RNA sequencing (snRNA-seq) was compared to single-cell RNA sequencing (scRNA-seq) on adult mouse kidney.</w:t>
      </w:r>
    </w:p>
    <w:p>
      <w:pPr>
        <w:jc w:val="both"/>
      </w:pPr>
      <w:r>
        <w:rPr/>
        <w:t xml:space="preserve">2. snRNA-seq captured a diversity of kidney cell types that were not represented in the scRNA-seq dataset, including glomerular podocytes, mesangial cells, and endothelial cells.</w:t>
      </w:r>
    </w:p>
    <w:p>
      <w:pPr>
        <w:jc w:val="both"/>
      </w:pPr>
      <w:r>
        <w:rPr/>
        <w:t xml:space="preserve">3. snRNA-seq achieved comparable gene detection to scRNA-seq in adult kidney, and it also has substantial advantages, including reduced dissociation bias, compatibility with frozen samples, elimination of dissociation-induced transcriptional stress responses, and successful performance on inflamed fibrotic kidney.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advantages of single nucleus over single cell RNA sequencing for adult kidney tissue. The authors compare the two methods using a variety of platforms and validate their findings using frozen day 14 unilateral ureteral obstruction (UUO) surgery samples from mice. The article is well written and provides a comprehensive overview of the advantages of snRNA-seq over scRNA-seq for adult kidney tissue. </w:t>
      </w:r>
    </w:p>
    <w:p>
      <w:pPr>
        <w:jc w:val="both"/>
      </w:pPr>
      <w:r>
        <w:rPr/>
        <w:t xml:space="preserve">The article is generally reliable and trustworthy as it provides evidence to support its claims through comparison studies and validation experiments. The authors provide detailed descriptions of their methods and results which allows readers to assess the validity of their conclusions. Furthermore, they discuss potential limitations such as the lack of glomerular cell types in the scRNA-seq dataset which could be due to technical issues or sample preparation artifacts. </w:t>
      </w:r>
    </w:p>
    <w:p>
      <w:pPr>
        <w:jc w:val="both"/>
      </w:pPr>
      <w:r>
        <w:rPr/>
        <w:t xml:space="preserve">However, there are some points that could be improved upon in this article. For example, while the authors discuss potential limitations such as technical issues or sample preparation artifacts that could have led to missing glomerular cell types in the scRNA-seq dataset, they do not provide any further details or evidence for these claims which would have been useful for readers to better understand their conclusions. Additionally, while they discuss potential risks associated with snRNA-seq such as contamination from other tissues or cells during sample preparation or processing steps, they do not provide any further information on how these risks can be minimized or avoided which would have been beneficial for readers who are interested in using this method for their own research projects.</w:t>
      </w:r>
    </w:p>
    <w:p>
      <w:pPr>
        <w:pStyle w:val="Heading1"/>
      </w:pPr>
      <w:bookmarkStart w:id="5" w:name="_Toc5"/>
      <w:r>
        <w:t>Topics for further research:</w:t>
      </w:r>
      <w:bookmarkEnd w:id="5"/>
    </w:p>
    <w:p>
      <w:pPr>
        <w:spacing w:after="0"/>
        <w:numPr>
          <w:ilvl w:val="0"/>
          <w:numId w:val="2"/>
        </w:numPr>
      </w:pPr>
      <w:r>
        <w:rPr/>
        <w:t xml:space="preserve">snRNA-seq sample preparation</w:t>
      </w:r>
    </w:p>
    <w:p>
      <w:pPr>
        <w:spacing w:after="0"/>
        <w:numPr>
          <w:ilvl w:val="0"/>
          <w:numId w:val="2"/>
        </w:numPr>
      </w:pPr>
      <w:r>
        <w:rPr/>
        <w:t xml:space="preserve">scRNA-seq technical issues</w:t>
      </w:r>
    </w:p>
    <w:p>
      <w:pPr>
        <w:spacing w:after="0"/>
        <w:numPr>
          <w:ilvl w:val="0"/>
          <w:numId w:val="2"/>
        </w:numPr>
      </w:pPr>
      <w:r>
        <w:rPr/>
        <w:t xml:space="preserve">glomerular cell types scRNA-seq</w:t>
      </w:r>
    </w:p>
    <w:p>
      <w:pPr>
        <w:spacing w:after="0"/>
        <w:numPr>
          <w:ilvl w:val="0"/>
          <w:numId w:val="2"/>
        </w:numPr>
      </w:pPr>
      <w:r>
        <w:rPr/>
        <w:t xml:space="preserve">snRNA-seq contamination risks</w:t>
      </w:r>
    </w:p>
    <w:p>
      <w:pPr>
        <w:spacing w:after="0"/>
        <w:numPr>
          <w:ilvl w:val="0"/>
          <w:numId w:val="2"/>
        </w:numPr>
      </w:pPr>
      <w:r>
        <w:rPr/>
        <w:t xml:space="preserve">minimizing snRNA-seq contamination</w:t>
      </w:r>
    </w:p>
    <w:p>
      <w:pPr>
        <w:numPr>
          <w:ilvl w:val="0"/>
          <w:numId w:val="2"/>
        </w:numPr>
      </w:pPr>
      <w:r>
        <w:rPr/>
        <w:t xml:space="preserve">sample preparation artifacts scRNA-seq</w:t>
      </w:r>
    </w:p>
    <w:p>
      <w:pPr>
        <w:pStyle w:val="Heading1"/>
      </w:pPr>
      <w:bookmarkStart w:id="6" w:name="_Toc6"/>
      <w:r>
        <w:t>Report location:</w:t>
      </w:r>
      <w:bookmarkEnd w:id="6"/>
    </w:p>
    <w:p>
      <w:hyperlink r:id="rId8" w:history="1">
        <w:r>
          <w:rPr>
            <w:color w:val="2980b9"/>
            <w:u w:val="single"/>
          </w:rPr>
          <w:t xml:space="preserve">https://www.fullpicture.app/item/8a8f80f54929d34367294420df960020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E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510133/" TargetMode="External"/><Relationship Id="rId8" Type="http://schemas.openxmlformats.org/officeDocument/2006/relationships/hyperlink" Target="https://www.fullpicture.app/item/8a8f80f54929d34367294420df960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2023-02-27T08:08:01+01:00</dcterms:created>
  <dcterms:modified xsi:type="dcterms:W3CDTF">2023-02-27T08:08:01+01:00</dcterms:modified>
</cp:coreProperties>
</file>

<file path=docProps/custom.xml><?xml version="1.0" encoding="utf-8"?>
<Properties xmlns="http://schemas.openxmlformats.org/officeDocument/2006/custom-properties" xmlns:vt="http://schemas.openxmlformats.org/officeDocument/2006/docPropsVTypes"/>
</file>