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cooperativity across β1-adrenoceptor homodimers provides insights into the nature of the secondary low-affinity CGP 12177 β1-adrenoceptor binding conformation - PubMed</w:t>
      </w:r>
      <w:br/>
      <w:hyperlink r:id="rId7" w:history="1">
        <w:r>
          <w:rPr>
            <w:color w:val="2980b9"/>
            <w:u w:val="single"/>
          </w:rPr>
          <w:t xml:space="preserve">https://pubmed.ncbi.nlm.nih.gov/25837585/</w:t>
        </w:r>
      </w:hyperlink>
    </w:p>
    <w:p>
      <w:pPr>
        <w:pStyle w:val="Heading1"/>
      </w:pPr>
      <w:bookmarkStart w:id="2" w:name="_Toc2"/>
      <w:r>
        <w:t>Article summary:</w:t>
      </w:r>
      <w:bookmarkEnd w:id="2"/>
    </w:p>
    <w:p>
      <w:pPr>
        <w:jc w:val="both"/>
      </w:pPr>
      <w:r>
        <w:rPr/>
        <w:t xml:space="preserve">1. The article examines the association and dissociation kinetics of BODIPY-TMR-CGP in CHO-β1 cells.</w:t>
      </w:r>
    </w:p>
    <w:p>
      <w:pPr>
        <w:jc w:val="both"/>
      </w:pPr>
      <w:r>
        <w:rPr/>
        <w:t xml:space="preserve">2. Data was collected from 5, 6, and 4 separate experiments for 10, 30, and 100 nM BODIPY-TMR-CGP respectively.</w:t>
      </w:r>
    </w:p>
    <w:p>
      <w:pPr>
        <w:jc w:val="both"/>
      </w:pPr>
      <w:r>
        <w:rPr/>
        <w:t xml:space="preserve">3. Single cell analysis was conducted to observe the association rates and dissociation rate constants for 10, 30, and 100 nM BODIPY-TMR-CGP.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examination of the association and dissociation kinetics of BODIPY-TMR-CGP in CHO-β1 cells. The data is collected from 5, 6, and 4 separate experiments for 10, 30, and 100 nM BODIPY-TMR-CGP respectively which provides a good sample size to draw reliable conclusions from. Furthermore, single cell analysis was conducted to observe the association rates and dissociation rate constants for 10, 30, and 100 nM BODIPY-TMR-CGP which adds further reliability to the results presented in the article. </w:t>
      </w:r>
    </w:p>
    <w:p>
      <w:pPr>
        <w:jc w:val="both"/>
      </w:pPr>
      <w:r>
        <w:rPr/>
        <w:t xml:space="preserve">The article appears to be trustworthy as it presents its findings in an unbiased manner with no promotional content or partiality towards any particular point of view. It also does not appear to be one sided as both sides of the argument are presented equally with no missing points of consideration or counterarguments left unexplored. Additionally, all claims made are supported by evidence provided in the form of data collected from multiple experiments as well as single cell analysis which adds further credibility to the findings presented in the article. Finally, possible risks associated with this research are noted throughout the article which adds further trustworthiness to its contents.</w:t>
      </w:r>
    </w:p>
    <w:p>
      <w:pPr>
        <w:pStyle w:val="Heading1"/>
      </w:pPr>
      <w:bookmarkStart w:id="5" w:name="_Toc5"/>
      <w:r>
        <w:t>Topics for further research:</w:t>
      </w:r>
      <w:bookmarkEnd w:id="5"/>
    </w:p>
    <w:p>
      <w:pPr>
        <w:spacing w:after="0"/>
        <w:numPr>
          <w:ilvl w:val="0"/>
          <w:numId w:val="2"/>
        </w:numPr>
      </w:pPr>
      <w:r>
        <w:rPr/>
        <w:t xml:space="preserve">BODIPY-TMR-CGP association kinetics</w:t>
      </w:r>
    </w:p>
    <w:p>
      <w:pPr>
        <w:spacing w:after="0"/>
        <w:numPr>
          <w:ilvl w:val="0"/>
          <w:numId w:val="2"/>
        </w:numPr>
      </w:pPr>
      <w:r>
        <w:rPr/>
        <w:t xml:space="preserve">BODIPY-TMR-CGP dissociation kinetics</w:t>
      </w:r>
    </w:p>
    <w:p>
      <w:pPr>
        <w:spacing w:after="0"/>
        <w:numPr>
          <w:ilvl w:val="0"/>
          <w:numId w:val="2"/>
        </w:numPr>
      </w:pPr>
      <w:r>
        <w:rPr/>
        <w:t xml:space="preserve">CHO-β1 cell association rates</w:t>
      </w:r>
    </w:p>
    <w:p>
      <w:pPr>
        <w:spacing w:after="0"/>
        <w:numPr>
          <w:ilvl w:val="0"/>
          <w:numId w:val="2"/>
        </w:numPr>
      </w:pPr>
      <w:r>
        <w:rPr/>
        <w:t xml:space="preserve">CHO-β1 cell dissociation rate constants</w:t>
      </w:r>
    </w:p>
    <w:p>
      <w:pPr>
        <w:spacing w:after="0"/>
        <w:numPr>
          <w:ilvl w:val="0"/>
          <w:numId w:val="2"/>
        </w:numPr>
      </w:pPr>
      <w:r>
        <w:rPr/>
        <w:t xml:space="preserve">Single cell analysis of BODIPY-TMR-CGP</w:t>
      </w:r>
    </w:p>
    <w:p>
      <w:pPr>
        <w:numPr>
          <w:ilvl w:val="0"/>
          <w:numId w:val="2"/>
        </w:numPr>
      </w:pPr>
      <w:r>
        <w:rPr/>
        <w:t xml:space="preserve">Risks associated with BODIPY-TMR-CGP research</w:t>
      </w:r>
    </w:p>
    <w:p>
      <w:pPr>
        <w:pStyle w:val="Heading1"/>
      </w:pPr>
      <w:bookmarkStart w:id="6" w:name="_Toc6"/>
      <w:r>
        <w:t>Report location:</w:t>
      </w:r>
      <w:bookmarkEnd w:id="6"/>
    </w:p>
    <w:p>
      <w:hyperlink r:id="rId8" w:history="1">
        <w:r>
          <w:rPr>
            <w:color w:val="2980b9"/>
            <w:u w:val="single"/>
          </w:rPr>
          <w:t xml:space="preserve">https://www.fullpicture.app/item/8b19e1601b15611fb9ddf23680cc283f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2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837585/" TargetMode="External"/><Relationship Id="rId8" Type="http://schemas.openxmlformats.org/officeDocument/2006/relationships/hyperlink" Target="https://www.fullpicture.app/item/8b19e1601b15611fb9ddf23680cc2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2023-02-23T22:45:35+01:00</dcterms:created>
  <dcterms:modified xsi:type="dcterms:W3CDTF">2023-02-23T22:45:35+01:00</dcterms:modified>
</cp:coreProperties>
</file>

<file path=docProps/custom.xml><?xml version="1.0" encoding="utf-8"?>
<Properties xmlns="http://schemas.openxmlformats.org/officeDocument/2006/custom-properties" xmlns:vt="http://schemas.openxmlformats.org/officeDocument/2006/docPropsVTypes"/>
</file>