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讲座回顾 | 韩立余：国际经济法中的反补贴规则动态</w:t>
      </w:r>
      <w:br/>
      <w:hyperlink r:id="rId7" w:history="1">
        <w:r>
          <w:rPr>
            <w:color w:val="2980b9"/>
            <w:u w:val="single"/>
          </w:rPr>
          <w:t xml:space="preserve">https://law.fudan.edu.cn/4a/20/c27189a477728/page.htm</w:t>
        </w:r>
      </w:hyperlink>
    </w:p>
    <w:p>
      <w:pPr>
        <w:pStyle w:val="Heading1"/>
      </w:pPr>
      <w:bookmarkStart w:id="2" w:name="_Toc2"/>
      <w:r>
        <w:t>Article summary:</w:t>
      </w:r>
      <w:bookmarkEnd w:id="2"/>
    </w:p>
    <w:p>
      <w:pPr>
        <w:jc w:val="both"/>
      </w:pPr>
      <w:r>
        <w:rPr/>
        <w:t xml:space="preserve">1. Professor Han Liyu of the School of Law of Renmin University of China gave an online lecture on the dynamics of countervailing rules in international economic law.</w:t>
      </w:r>
    </w:p>
    <w:p>
      <w:pPr>
        <w:jc w:val="both"/>
      </w:pPr>
      <w:r>
        <w:rPr/>
        <w:t xml:space="preserve">2. Professor Han discussed the US and EU's domestic regulations and free trade agreements, as well as their efforts to promote the modernization of WTO rules.</w:t>
      </w:r>
    </w:p>
    <w:p>
      <w:pPr>
        <w:jc w:val="both"/>
      </w:pPr>
      <w:r>
        <w:rPr/>
        <w:t xml:space="preserve">3. Panelists discussed four trending views on the dynamics of anti-subsidy rules, including expanding from within the country projects that go abroad, expanding from goods to investment, finance, industrial policy, etc., and integrating countervailing with competition law and antitrust review.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Professor Han Liyu’s online lecture on the dynamics of countervailing rules in international economic law. The article provides a comprehensive overview of Professor Han’s lecture, including his analysis from the adjustment objects and sources of international economic law, the relationship and scope of application of subsidies and countervailing, and dynamic manifestations of rules. It also includes insights from panelists who discussed four trending views on the dynamics of anti-subsidy rules. </w:t>
      </w:r>
    </w:p>
    <w:p>
      <w:pPr>
        <w:jc w:val="both"/>
      </w:pPr>
      <w:r>
        <w:rPr/>
        <w:t xml:space="preserve">The article does not appear to be biased or one-sided in its reporting; it presents both sides equally by providing a detailed overview of Professor Han’s lecture as well as insights from panelists who discussed different perspectives on anti-subsidy rules. Furthermore, it does not appear to contain any promotional content or partiality towards any particular side or opinion. </w:t>
      </w:r>
    </w:p>
    <w:p>
      <w:pPr>
        <w:jc w:val="both"/>
      </w:pPr>
      <w:r>
        <w:rPr/>
        <w:t xml:space="preserve">The article does not appear to contain any unsupported claims or missing points/evidence for claims made; all claims are supported by evidence provided in Professor Han’s lecture as well as insights from panelists discussing different perspectives on anti-subsidy rules. Additionally, there do not appear to be any unexplored counterarguments or missing evidence for claims made in the article; all arguments are explored thoroughly with evidence provided to support them. </w:t>
      </w:r>
    </w:p>
    <w:p>
      <w:pPr>
        <w:jc w:val="both"/>
      </w:pPr>
      <w:r>
        <w:rPr/>
        <w:t xml:space="preserve">Finally, while possible risks are noted throughout the article (e.g., potential risks associated with changes in subsidy rules), it is important to note that these risks are presented without judgement or bias towards any particular side or opinion; instead they are presented objectively so readers can make their own informed decisions about how best to respond to these risks.</w:t>
      </w:r>
    </w:p>
    <w:p>
      <w:pPr>
        <w:pStyle w:val="Heading1"/>
      </w:pPr>
      <w:bookmarkStart w:id="5" w:name="_Toc5"/>
      <w:r>
        <w:t>Topics for further research:</w:t>
      </w:r>
      <w:bookmarkEnd w:id="5"/>
    </w:p>
    <w:p>
      <w:pPr>
        <w:spacing w:after="0"/>
        <w:numPr>
          <w:ilvl w:val="0"/>
          <w:numId w:val="2"/>
        </w:numPr>
      </w:pPr>
      <w:r>
        <w:rPr/>
        <w:t xml:space="preserve">International Economic Law Subsidies </w:t>
      </w:r>
    </w:p>
    <w:p>
      <w:pPr>
        <w:spacing w:after="0"/>
        <w:numPr>
          <w:ilvl w:val="0"/>
          <w:numId w:val="2"/>
        </w:numPr>
      </w:pPr>
      <w:r>
        <w:rPr/>
        <w:t xml:space="preserve">Countervailing Measures in International Trade </w:t>
      </w:r>
    </w:p>
    <w:p>
      <w:pPr>
        <w:spacing w:after="0"/>
        <w:numPr>
          <w:ilvl w:val="0"/>
          <w:numId w:val="2"/>
        </w:numPr>
      </w:pPr>
      <w:r>
        <w:rPr/>
        <w:t xml:space="preserve">WTO Anti-Subsidy Rules </w:t>
      </w:r>
    </w:p>
    <w:p>
      <w:pPr>
        <w:spacing w:after="0"/>
        <w:numPr>
          <w:ilvl w:val="0"/>
          <w:numId w:val="2"/>
        </w:numPr>
      </w:pPr>
      <w:r>
        <w:rPr/>
        <w:t xml:space="preserve">Adjustment Objects and Sources of International Economic Law </w:t>
      </w:r>
    </w:p>
    <w:p>
      <w:pPr>
        <w:spacing w:after="0"/>
        <w:numPr>
          <w:ilvl w:val="0"/>
          <w:numId w:val="2"/>
        </w:numPr>
      </w:pPr>
      <w:r>
        <w:rPr/>
        <w:t xml:space="preserve">Dynamic Manifestations of International Economic Law </w:t>
      </w:r>
    </w:p>
    <w:p>
      <w:pPr>
        <w:numPr>
          <w:ilvl w:val="0"/>
          <w:numId w:val="2"/>
        </w:numPr>
      </w:pPr>
      <w:r>
        <w:rPr/>
        <w:t xml:space="preserve">Potential Risks of Changes in Subsidy Rules</w:t>
      </w:r>
    </w:p>
    <w:p>
      <w:pPr>
        <w:pStyle w:val="Heading1"/>
      </w:pPr>
      <w:bookmarkStart w:id="6" w:name="_Toc6"/>
      <w:r>
        <w:t>Report location:</w:t>
      </w:r>
      <w:bookmarkEnd w:id="6"/>
    </w:p>
    <w:p>
      <w:hyperlink r:id="rId8" w:history="1">
        <w:r>
          <w:rPr>
            <w:color w:val="2980b9"/>
            <w:u w:val="single"/>
          </w:rPr>
          <w:t xml:space="preserve">https://www.fullpicture.app/item/8b1d227b856db274fbc00c935b38cadb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8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fudan.edu.cn/4a/20/c27189a477728/page.htm" TargetMode="External"/><Relationship Id="rId8" Type="http://schemas.openxmlformats.org/officeDocument/2006/relationships/hyperlink" Target="https://www.fullpicture.app/item/8b1d227b856db274fbc00c935b38c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2023-02-26T09:18:22+01:00</dcterms:created>
  <dcterms:modified xsi:type="dcterms:W3CDTF">2023-02-26T09:18:22+01:00</dcterms:modified>
</cp:coreProperties>
</file>

<file path=docProps/custom.xml><?xml version="1.0" encoding="utf-8"?>
<Properties xmlns="http://schemas.openxmlformats.org/officeDocument/2006/custom-properties" xmlns:vt="http://schemas.openxmlformats.org/officeDocument/2006/docPropsVTypes"/>
</file>