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Fungi determine increased soil organic carbon more than bacteria through their necromass inputs in conservation tillage croplands - ScienceDirect</w:t>
      </w:r>
      <w:br/>
      <w:hyperlink r:id="rId7" w:history="1">
        <w:r>
          <w:rPr>
            <w:color w:val="2980b9"/>
            <w:u w:val="single"/>
          </w:rPr>
          <w:t xml:space="preserve">https://www.sciencedirect.com/science/article/pii/S003807172200044X</w:t>
        </w:r>
      </w:hyperlink>
    </w:p>
    <w:p>
      <w:pPr>
        <w:pStyle w:val="Heading1"/>
      </w:pPr>
      <w:bookmarkStart w:id="2" w:name="_Toc2"/>
      <w:r>
        <w:t>Article summary:</w:t>
      </w:r>
      <w:bookmarkEnd w:id="2"/>
    </w:p>
    <w:p>
      <w:pPr>
        <w:jc w:val="both"/>
      </w:pPr>
      <w:r>
        <w:rPr/>
        <w:t xml:space="preserve">1. Fungi play an important role in increasing soil organic carbon (SOC) through their necromass inputs in conservation tillage croplands.</w:t>
      </w:r>
    </w:p>
    <w:p>
      <w:pPr>
        <w:jc w:val="both"/>
      </w:pPr>
      <w:r>
        <w:rPr/>
        <w:t xml:space="preserve">2. No-tillage with medium and high stover mulching can fulfill the goal of the “4 per 1000” Initiative.</w:t>
      </w:r>
    </w:p>
    <w:p>
      <w:pPr>
        <w:jc w:val="both"/>
      </w:pPr>
      <w:r>
        <w:rPr/>
        <w:t xml:space="preserve">3. No-tillage increased the ratio of fungal to bacterial necromass C at surface soil, and no-tillage with medium mulching achieved the best trade-off between stover input and SOC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how fungi determine increased soil organic carbon more than bacteria through their necromass inputs in conservation tillage croplands. The article is based on a 10-year corn field experiment conducted in northeastern China, which provides evidence for its claims. Furthermore, the article also includes detailed information on microbial community diversity and structure using 16S rRNA and internal transcribed spacer (ITS) sequencing, as well as phospholipid fatty acid and amino sugar biomarkers to characterize microbial biomass and necromass. </w:t>
      </w:r>
    </w:p>
    <w:p>
      <w:pPr>
        <w:jc w:val="both"/>
      </w:pPr>
      <w:r>
        <w:rPr/>
        <w:t xml:space="preserve">However, there are some potential biases that should be noted when considering this article's trustworthiness and reliability. For example, the study was conducted in a single location in northeastern China, so it may not be applicable to other regions or climates where different agricultural practices are used. Additionally, while the article does provide evidence for its claims, it does not explore any counterarguments or alternative perspectives that could challenge its findings. Finally, while the article does mention possible risks associated with no-tillage practices such as soil erosion or nutrient leaching, it does not provide any detailed information on these risks or how they can be mitigated. </w:t>
      </w:r>
    </w:p>
    <w:p>
      <w:pPr>
        <w:jc w:val="both"/>
      </w:pPr>
      <w:r>
        <w:rPr/>
        <w:t xml:space="preserve">In conclusion, this article is generally reliable and trustworthy due to its comprehensive overview of how fungi determine increased soil organic carbon more than bacteria through their necromass inputs in conservation tillage croplands. However, there are some potential biases that should be noted when considering this article's trustworthiness and reliability such as its limited scope to one region/climate only; lack of exploration of counterarguments; and lack of detail on potential risks associated with no-tillage practices such as soil erosion or nutrient leaching.</w:t>
      </w:r>
    </w:p>
    <w:p>
      <w:pPr>
        <w:pStyle w:val="Heading1"/>
      </w:pPr>
      <w:bookmarkStart w:id="5" w:name="_Toc5"/>
      <w:r>
        <w:t>Topics for further research:</w:t>
      </w:r>
      <w:bookmarkEnd w:id="5"/>
    </w:p>
    <w:p>
      <w:pPr>
        <w:spacing w:after="0"/>
        <w:numPr>
          <w:ilvl w:val="0"/>
          <w:numId w:val="2"/>
        </w:numPr>
      </w:pPr>
      <w:r>
        <w:rPr/>
        <w:t xml:space="preserve">No-tillage agricultural practices</w:t>
      </w:r>
    </w:p>
    <w:p>
      <w:pPr>
        <w:spacing w:after="0"/>
        <w:numPr>
          <w:ilvl w:val="0"/>
          <w:numId w:val="2"/>
        </w:numPr>
      </w:pPr>
      <w:r>
        <w:rPr/>
        <w:t xml:space="preserve">Soil erosion risks</w:t>
      </w:r>
    </w:p>
    <w:p>
      <w:pPr>
        <w:spacing w:after="0"/>
        <w:numPr>
          <w:ilvl w:val="0"/>
          <w:numId w:val="2"/>
        </w:numPr>
      </w:pPr>
      <w:r>
        <w:rPr/>
        <w:t xml:space="preserve">Nutrient leaching risks</w:t>
      </w:r>
    </w:p>
    <w:p>
      <w:pPr>
        <w:spacing w:after="0"/>
        <w:numPr>
          <w:ilvl w:val="0"/>
          <w:numId w:val="2"/>
        </w:numPr>
      </w:pPr>
      <w:r>
        <w:rPr/>
        <w:t xml:space="preserve">Mitigation strategies for soil erosion</w:t>
      </w:r>
    </w:p>
    <w:p>
      <w:pPr>
        <w:spacing w:after="0"/>
        <w:numPr>
          <w:ilvl w:val="0"/>
          <w:numId w:val="2"/>
        </w:numPr>
      </w:pPr>
      <w:r>
        <w:rPr/>
        <w:t xml:space="preserve">Mitigation strategies for nutrient leaching</w:t>
      </w:r>
    </w:p>
    <w:p>
      <w:pPr>
        <w:numPr>
          <w:ilvl w:val="0"/>
          <w:numId w:val="2"/>
        </w:numPr>
      </w:pPr>
      <w:r>
        <w:rPr/>
        <w:t xml:space="preserve">Microbial community diversity and structure</w:t>
      </w:r>
    </w:p>
    <w:p>
      <w:pPr>
        <w:pStyle w:val="Heading1"/>
      </w:pPr>
      <w:bookmarkStart w:id="6" w:name="_Toc6"/>
      <w:r>
        <w:t>Report location:</w:t>
      </w:r>
      <w:bookmarkEnd w:id="6"/>
    </w:p>
    <w:p>
      <w:hyperlink r:id="rId8" w:history="1">
        <w:r>
          <w:rPr>
            <w:color w:val="2980b9"/>
            <w:u w:val="single"/>
          </w:rPr>
          <w:t xml:space="preserve">https://www.fullpicture.app/item/8b2d6303ec7467f31ceec093df7a6fe1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6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200044X" TargetMode="External"/><Relationship Id="rId8" Type="http://schemas.openxmlformats.org/officeDocument/2006/relationships/hyperlink" Target="https://www.fullpicture.app/item/8b2d6303ec7467f31ceec093df7a6f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2023-02-21T01:19:25+01:00</dcterms:created>
  <dcterms:modified xsi:type="dcterms:W3CDTF">2023-02-21T01:19:25+01:00</dcterms:modified>
</cp:coreProperties>
</file>

<file path=docProps/custom.xml><?xml version="1.0" encoding="utf-8"?>
<Properties xmlns="http://schemas.openxmlformats.org/officeDocument/2006/custom-properties" xmlns:vt="http://schemas.openxmlformats.org/officeDocument/2006/docPropsVTypes"/>
</file>