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Heparin use in continuous renal replacement procedures: the... : Journal of the American Society of Nephrology</w:t>
      </w:r>
      <w:br/>
      <w:hyperlink r:id="rId7" w:history="1">
        <w:r>
          <w:rPr>
            <w:color w:val="2980b9"/>
            <w:u w:val="single"/>
          </w:rPr>
          <w:t xml:space="preserve">https://journals.lww.com/jasn/abstract/1996/01000/heparin_use_in_continuous_renal_replacement.20.aspx</w:t>
        </w:r>
      </w:hyperlink>
    </w:p>
    <w:p>
      <w:pPr>
        <w:pStyle w:val="Heading1"/>
      </w:pPr>
      <w:bookmarkStart w:id="2" w:name="_Toc2"/>
      <w:r>
        <w:t>Article summary:</w:t>
      </w:r>
      <w:bookmarkEnd w:id="2"/>
    </w:p>
    <w:p>
      <w:pPr>
        <w:jc w:val="both"/>
      </w:pPr>
      <w:r>
        <w:rPr/>
        <w:t xml:space="preserve">1. Heparin is commonly used as an anticoagulant in continuous renal replacement procedures, but the balance between filter coagulation and patient hemorrhage is not well understood.</w:t>
      </w:r>
    </w:p>
    <w:p>
      <w:pPr>
        <w:jc w:val="both"/>
      </w:pPr>
      <w:r>
        <w:rPr/>
        <w:t xml:space="preserve">2. The incidence of filter coagulation decreased as the activated partial thromboplastin time (APTT) increased, while the incidence of patient hemorrhage increased with higher APTT levels.</w:t>
      </w:r>
    </w:p>
    <w:p>
      <w:pPr>
        <w:jc w:val="both"/>
      </w:pPr>
      <w:r>
        <w:rPr/>
        <w:t xml:space="preserve">3. The type of filter used and concurrent use of coumarin derivatives had an impact on filter survival, with acrylonitrile filters having lower survival rates compared to polyamide filters. The administered dose of heparin did not correlate with the occurrence of filter coagulation or hemorrhages.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这篇文章主要研究了在连续肾脏替代治疗中使用肝素的效果，特别关注了滤器凝血和患者出血之间的平衡。然而，这篇文章存在一些潜在的偏见和局限性。</w:t>
      </w:r>
    </w:p>
    <w:p>
      <w:pPr>
        <w:jc w:val="both"/>
      </w:pPr>
      <w:r>
        <w:rPr/>
        <w:t xml:space="preserve"/>
      </w:r>
    </w:p>
    <w:p>
      <w:pPr>
        <w:jc w:val="both"/>
      </w:pPr>
      <w:r>
        <w:rPr/>
        <w:t xml:space="preserve">首先，这篇文章没有提及作者的利益冲突声明。如果作者有与肝素相关的利益冲突，可能会影响他们对结果的解释和呈现。</w:t>
      </w:r>
    </w:p>
    <w:p>
      <w:pPr>
        <w:jc w:val="both"/>
      </w:pPr>
      <w:r>
        <w:rPr/>
        <w:t xml:space="preserve"/>
      </w:r>
    </w:p>
    <w:p>
      <w:pPr>
        <w:jc w:val="both"/>
      </w:pPr>
      <w:r>
        <w:rPr/>
        <w:t xml:space="preserve">其次，这篇文章只观察了78名危重病患者中240个滤器周期的数据，并未涵盖更大范围的样本。因此，结果可能不具有普遍适用性，并且不能完全代表所有连续肾脏替代治疗患者的情况。</w:t>
      </w:r>
    </w:p>
    <w:p>
      <w:pPr>
        <w:jc w:val="both"/>
      </w:pPr>
      <w:r>
        <w:rPr/>
        <w:t xml:space="preserve"/>
      </w:r>
    </w:p>
    <w:p>
      <w:pPr>
        <w:jc w:val="both"/>
      </w:pPr>
      <w:r>
        <w:rPr/>
        <w:t xml:space="preserve">此外，该研究没有明确探讨其他可能影响滤器凝血和患者出血风险因素的因素。例如，是否考虑了患者基础疾病、药物使用、手术操作等因素对结果的影响。</w:t>
      </w:r>
    </w:p>
    <w:p>
      <w:pPr>
        <w:jc w:val="both"/>
      </w:pPr>
      <w:r>
        <w:rPr/>
        <w:t xml:space="preserve"/>
      </w:r>
    </w:p>
    <w:p>
      <w:pPr>
        <w:jc w:val="both"/>
      </w:pPr>
      <w:r>
        <w:rPr/>
        <w:t xml:space="preserve">另外，该研究声称滤器凝血和出血与肝素剂量无关，但并未提供充分证据来支持这一观点。更多关于肝素剂量和滤器凝血、出血之间关系的研究是必要的。</w:t>
      </w:r>
    </w:p>
    <w:p>
      <w:pPr>
        <w:jc w:val="both"/>
      </w:pPr>
      <w:r>
        <w:rPr/>
        <w:t xml:space="preserve"/>
      </w:r>
    </w:p>
    <w:p>
      <w:pPr>
        <w:jc w:val="both"/>
      </w:pPr>
      <w:r>
        <w:rPr/>
        <w:t xml:space="preserve">此外，这篇文章没有探讨可能存在的反驳观点。例如，有研究表明，使用其他抗凝剂如阿加曲班可能比肝素更有效地预防滤器凝血，并且具有较低的出血风险。这些反驳观点应该被纳入讨论中以提供更全面的信息。</w:t>
      </w:r>
    </w:p>
    <w:p>
      <w:pPr>
        <w:jc w:val="both"/>
      </w:pPr>
      <w:r>
        <w:rPr/>
        <w:t xml:space="preserve"/>
      </w:r>
    </w:p>
    <w:p>
      <w:pPr>
        <w:jc w:val="both"/>
      </w:pPr>
      <w:r>
        <w:rPr/>
        <w:t xml:space="preserve">最后，这篇文章没有平等地呈现双方观点。它主要关注了肝素在连续肾脏替代治疗中的效果，但未提及其他可能的抗凝剂选择或策略。一个更全面和客观的分析应该考虑到不同抗凝剂之间的比较和优劣势。</w:t>
      </w:r>
    </w:p>
    <w:p>
      <w:pPr>
        <w:jc w:val="both"/>
      </w:pPr>
      <w:r>
        <w:rPr/>
        <w:t xml:space="preserve"/>
      </w:r>
    </w:p>
    <w:p>
      <w:pPr>
        <w:jc w:val="both"/>
      </w:pPr>
      <w:r>
        <w:rPr/>
        <w:t xml:space="preserve">总体而言，这篇文章在研究连续肾脏替代治疗中使用肝素的效果方面提供了一些有用信息，但也存在一些潜在偏见和局限性。进一步研究需要解决这些问题，并提供更全面和客观的证据来指导临床实践。</w:t>
      </w:r>
    </w:p>
    <w:p>
      <w:pPr>
        <w:pStyle w:val="Heading1"/>
      </w:pPr>
      <w:bookmarkStart w:id="5" w:name="_Toc5"/>
      <w:r>
        <w:t>Topics for further research:</w:t>
      </w:r>
      <w:bookmarkEnd w:id="5"/>
    </w:p>
    <w:p>
      <w:pPr>
        <w:spacing w:after="0"/>
        <w:numPr>
          <w:ilvl w:val="0"/>
          <w:numId w:val="2"/>
        </w:numPr>
      </w:pPr>
      <w:r>
        <w:rPr/>
        <w:t xml:space="preserve">作者利益冲突声明
</w:t>
      </w:r>
    </w:p>
    <w:p>
      <w:pPr>
        <w:spacing w:after="0"/>
        <w:numPr>
          <w:ilvl w:val="0"/>
          <w:numId w:val="2"/>
        </w:numPr>
      </w:pPr>
      <w:r>
        <w:rPr/>
        <w:t xml:space="preserve">样本范围的限制
</w:t>
      </w:r>
    </w:p>
    <w:p>
      <w:pPr>
        <w:spacing w:after="0"/>
        <w:numPr>
          <w:ilvl w:val="0"/>
          <w:numId w:val="2"/>
        </w:numPr>
      </w:pPr>
      <w:r>
        <w:rPr/>
        <w:t xml:space="preserve">其他可能影响滤器凝血和出血的因素
</w:t>
      </w:r>
    </w:p>
    <w:p>
      <w:pPr>
        <w:spacing w:after="0"/>
        <w:numPr>
          <w:ilvl w:val="0"/>
          <w:numId w:val="2"/>
        </w:numPr>
      </w:pPr>
      <w:r>
        <w:rPr/>
        <w:t xml:space="preserve">肝素剂量与滤器凝血、出血之间关系的证据不足
</w:t>
      </w:r>
    </w:p>
    <w:p>
      <w:pPr>
        <w:spacing w:after="0"/>
        <w:numPr>
          <w:ilvl w:val="0"/>
          <w:numId w:val="2"/>
        </w:numPr>
      </w:pPr>
      <w:r>
        <w:rPr/>
        <w:t xml:space="preserve">未探讨其他抗凝剂的有效性和优劣势
</w:t>
      </w:r>
    </w:p>
    <w:p>
      <w:pPr>
        <w:numPr>
          <w:ilvl w:val="0"/>
          <w:numId w:val="2"/>
        </w:numPr>
      </w:pPr>
      <w:r>
        <w:rPr/>
        <w:t xml:space="preserve">缺乏平等呈现双方观点的全面性和客观性</w:t>
      </w:r>
    </w:p>
    <w:p>
      <w:pPr>
        <w:pStyle w:val="Heading1"/>
      </w:pPr>
      <w:bookmarkStart w:id="6" w:name="_Toc6"/>
      <w:r>
        <w:t>Report location:</w:t>
      </w:r>
      <w:bookmarkEnd w:id="6"/>
    </w:p>
    <w:p>
      <w:hyperlink r:id="rId8" w:history="1">
        <w:r>
          <w:rPr>
            <w:color w:val="2980b9"/>
            <w:u w:val="single"/>
          </w:rPr>
          <w:t xml:space="preserve">https://www.fullpicture.app/item/8d04eeb759bc26b36a29afc254b63612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A2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jasn/abstract/1996/01000/heparin_use_in_continuous_renal_replacement.20.aspx" TargetMode="External"/><Relationship Id="rId8" Type="http://schemas.openxmlformats.org/officeDocument/2006/relationships/hyperlink" Target="https://www.fullpicture.app/item/8d04eeb759bc26b36a29afc254b636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2024-05-08T01:26:25+02:00</dcterms:created>
  <dcterms:modified xsi:type="dcterms:W3CDTF">2024-05-08T01:26:25+02:00</dcterms:modified>
</cp:coreProperties>
</file>

<file path=docProps/custom.xml><?xml version="1.0" encoding="utf-8"?>
<Properties xmlns="http://schemas.openxmlformats.org/officeDocument/2006/custom-properties" xmlns:vt="http://schemas.openxmlformats.org/officeDocument/2006/docPropsVTypes"/>
</file>