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green technology innovation and renewable energy in carbon neutrality: A sustainable investigation from Turkey - ScienceDirect</w:t>
      </w:r>
      <w:br/>
      <w:hyperlink r:id="rId7" w:history="1">
        <w:r>
          <w:rPr>
            <w:color w:val="2980b9"/>
            <w:u w:val="single"/>
          </w:rPr>
          <w:t xml:space="preserve">https://www.sciencedirect.com/science/article/pii/S0301479721010665</w:t>
        </w:r>
      </w:hyperlink>
    </w:p>
    <w:p>
      <w:pPr>
        <w:pStyle w:val="Heading1"/>
      </w:pPr>
      <w:bookmarkStart w:id="2" w:name="_Toc2"/>
      <w:r>
        <w:t>Article summary:</w:t>
      </w:r>
      <w:bookmarkEnd w:id="2"/>
    </w:p>
    <w:p>
      <w:pPr>
        <w:jc w:val="both"/>
      </w:pPr>
      <w:r>
        <w:rPr/>
        <w:t xml:space="preserve">1. This paper examines the linkages between green technology innovation and renewable energy and carbon dioxide emissions in Turkey from 1990-2018.</w:t>
      </w:r>
    </w:p>
    <w:p>
      <w:pPr>
        <w:jc w:val="both"/>
      </w:pPr>
      <w:r>
        <w:rPr/>
        <w:t xml:space="preserve">2. The study found that green technology innovation and renewable energy are lowering CO2 emissions, while non-renewable energy consumption boosts CO2 emissions.</w:t>
      </w:r>
    </w:p>
    <w:p>
      <w:pPr>
        <w:jc w:val="both"/>
      </w:pPr>
      <w:r>
        <w:rPr/>
        <w:t xml:space="preserve">3. The findings suggest that policymakers should design comprehensive policies to strengthen environmental sustainability through green technology innovation and renewable energy in Turkey.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“Role of Green Technology Innovation and Renewable Energy in Carbon Neutrality: A Sustainable Investigation from Turkey” is a well-researched piece of work that provides an analysis of the impact of green technology innovations (GTIs) and renewable energy on carbon dioxide emissions in Turkey over the period 1990-2018. The authors have employed a range of techniques such as bootstrapping ARDL-bound testing, unit root testing, Granger causality test, etc., to analyze the relationship between the variables. The results show that GTIs and renewable energy are lowering CO2 emissions while non-renewable energy consumption boosts CO2 emissions. </w:t>
      </w:r>
    </w:p>
    <w:p>
      <w:pPr>
        <w:jc w:val="both"/>
      </w:pPr>
      <w:r>
        <w:rPr/>
        <w:t xml:space="preserve">The article is generally reliable as it is based on sound research methods and provides evidence for its claims. However, there are some potential biases that need to be noted. Firstly, the article focuses solely on Turkey which may limit its applicability to other countries or regions with different economic conditions or environmental regulations. Secondly, the article does not explore any counterarguments or alternative perspectives which could provide a more balanced view of the issue at hand. Finally, there is no discussion about possible risks associated with implementing GTIs or renewable energy sources which could be important for policy makers to consider when making decisions about these technologies. </w:t>
      </w:r>
    </w:p>
    <w:p>
      <w:pPr>
        <w:jc w:val="both"/>
      </w:pPr>
      <w:r>
        <w:rPr/>
        <w:t xml:space="preserve">In conclusion, this article provides a thorough investigation into the role of GTIs and renewable energy in carbon neutrality in Turkey but could benefit from further exploration into alternative perspectives and potential risks associated with these technologies before being used as a basis for policy decisions by governments around the world.</w:t>
      </w:r>
    </w:p>
    <w:p>
      <w:pPr>
        <w:pStyle w:val="Heading1"/>
      </w:pPr>
      <w:bookmarkStart w:id="5" w:name="_Toc5"/>
      <w:r>
        <w:t>Topics for further research:</w:t>
      </w:r>
      <w:bookmarkEnd w:id="5"/>
    </w:p>
    <w:p>
      <w:pPr>
        <w:spacing w:after="0"/>
        <w:numPr>
          <w:ilvl w:val="0"/>
          <w:numId w:val="2"/>
        </w:numPr>
      </w:pPr>
      <w:r>
        <w:rPr/>
        <w:t xml:space="preserve">Carbon neutrality risks</w:t>
      </w:r>
    </w:p>
    <w:p>
      <w:pPr>
        <w:spacing w:after="0"/>
        <w:numPr>
          <w:ilvl w:val="0"/>
          <w:numId w:val="2"/>
        </w:numPr>
      </w:pPr>
      <w:r>
        <w:rPr/>
        <w:t xml:space="preserve">Economic conditions and environmental regulations</w:t>
      </w:r>
    </w:p>
    <w:p>
      <w:pPr>
        <w:spacing w:after="0"/>
        <w:numPr>
          <w:ilvl w:val="0"/>
          <w:numId w:val="2"/>
        </w:numPr>
      </w:pPr>
      <w:r>
        <w:rPr/>
        <w:t xml:space="preserve">Alternative perspectives on green technology</w:t>
      </w:r>
    </w:p>
    <w:p>
      <w:pPr>
        <w:spacing w:after="0"/>
        <w:numPr>
          <w:ilvl w:val="0"/>
          <w:numId w:val="2"/>
        </w:numPr>
      </w:pPr>
      <w:r>
        <w:rPr/>
        <w:t xml:space="preserve">Bootstrapping ARDL-bound testing</w:t>
      </w:r>
    </w:p>
    <w:p>
      <w:pPr>
        <w:spacing w:after="0"/>
        <w:numPr>
          <w:ilvl w:val="0"/>
          <w:numId w:val="2"/>
        </w:numPr>
      </w:pPr>
      <w:r>
        <w:rPr/>
        <w:t xml:space="preserve">Unit root testing</w:t>
      </w:r>
    </w:p>
    <w:p>
      <w:pPr>
        <w:numPr>
          <w:ilvl w:val="0"/>
          <w:numId w:val="2"/>
        </w:numPr>
      </w:pPr>
      <w:r>
        <w:rPr/>
        <w:t xml:space="preserve">Granger causality test</w:t>
      </w:r>
    </w:p>
    <w:p>
      <w:pPr>
        <w:pStyle w:val="Heading1"/>
      </w:pPr>
      <w:bookmarkStart w:id="6" w:name="_Toc6"/>
      <w:r>
        <w:t>Report location:</w:t>
      </w:r>
      <w:bookmarkEnd w:id="6"/>
    </w:p>
    <w:p>
      <w:hyperlink r:id="rId8" w:history="1">
        <w:r>
          <w:rPr>
            <w:color w:val="2980b9"/>
            <w:u w:val="single"/>
          </w:rPr>
          <w:t xml:space="preserve">https://www.fullpicture.app/item/8dc954f0e88cec3affa415307e85ff33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B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1010665" TargetMode="External"/><Relationship Id="rId8" Type="http://schemas.openxmlformats.org/officeDocument/2006/relationships/hyperlink" Target="https://www.fullpicture.app/item/8dc954f0e88cec3affa415307e85f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2023-02-24T01:48:24+01:00</dcterms:created>
  <dcterms:modified xsi:type="dcterms:W3CDTF">2023-02-24T01:48:24+01:00</dcterms:modified>
</cp:coreProperties>
</file>

<file path=docProps/custom.xml><?xml version="1.0" encoding="utf-8"?>
<Properties xmlns="http://schemas.openxmlformats.org/officeDocument/2006/custom-properties" xmlns:vt="http://schemas.openxmlformats.org/officeDocument/2006/docPropsVTypes"/>
</file>