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 Regulation: Cancer drugs: high price, uncertain value - PMC</w:t>
      </w:r>
      <w:br/>
      <w:hyperlink r:id="rId7" w:history="1">
        <w:r>
          <w:rPr>
            <w:color w:val="2980b9"/>
            <w:u w:val="single"/>
          </w:rPr>
          <w:t xml:space="preserve">https://www.ncbi.nlm.nih.gov/pmc/articles/PMC5695518/</w:t>
        </w:r>
      </w:hyperlink>
    </w:p>
    <w:p>
      <w:pPr>
        <w:pStyle w:val="Heading1"/>
      </w:pPr>
      <w:bookmarkStart w:id="2" w:name="_Toc2"/>
      <w:r>
        <w:t>Article summary:</w:t>
      </w:r>
      <w:bookmarkEnd w:id="2"/>
    </w:p>
    <w:p>
      <w:pPr>
        <w:jc w:val="both"/>
      </w:pPr>
      <w:r>
        <w:rPr/>
        <w:t xml:space="preserve">1. 大多数新的癌症药物没有明确的临床意义，可能会给患者带来毒副作用和生活质量下降的风险。</w:t>
      </w:r>
    </w:p>
    <w:p>
      <w:pPr>
        <w:jc w:val="both"/>
      </w:pPr>
      <w:r>
        <w:rPr/>
        <w:t xml:space="preserve">2. 欧洲药品管理局在批准癌症药物时往往依赖于不可靠的试验设计或代理指标，这些指标并不能真正反映患者的生存期或生活质量。</w:t>
      </w:r>
    </w:p>
    <w:p>
      <w:pPr>
        <w:jc w:val="both"/>
      </w:pPr>
      <w:r>
        <w:rPr/>
        <w:t xml:space="preserve">3. 缺乏良好证据支持的新药上市使得政府在决定是否资助治疗时面临困境，同时也增加了医疗系统的负担。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这篇文章对癌症药物的监管提出了一些批评，但在分析中存在一些潜在的偏见和片面报道。</w:t>
      </w:r>
    </w:p>
    <w:p>
      <w:pPr>
        <w:jc w:val="both"/>
      </w:pPr>
      <w:r>
        <w:rPr/>
        <w:t xml:space="preserve"/>
      </w:r>
    </w:p>
    <w:p>
      <w:pPr>
        <w:jc w:val="both"/>
      </w:pPr>
      <w:r>
        <w:rPr/>
        <w:t xml:space="preserve">首先，文章声称大多数新的癌症药物没有明确证据表明其能够延长或改善生活质量。然而，该文章没有提供足够的数据来支持这一观点。它只引用了一个研究，并没有提及其他可能存在的证据。因此，这个主张缺乏充分的依据。</w:t>
      </w:r>
    </w:p>
    <w:p>
      <w:pPr>
        <w:jc w:val="both"/>
      </w:pPr>
      <w:r>
        <w:rPr/>
        <w:t xml:space="preserve"/>
      </w:r>
    </w:p>
    <w:p>
      <w:pPr>
        <w:jc w:val="both"/>
      </w:pPr>
      <w:r>
        <w:rPr/>
        <w:t xml:space="preserve">其次，文章指责欧洲药品管理局（EMA）在审批过程中使用了不可靠的试验设计和代理指标。然而，文章并没有提供足够的证据来支持这一观点。它只列举了几个案例，并没有对整个审批过程进行全面分析。因此，这个主张也缺乏充分的证据支持。</w:t>
      </w:r>
    </w:p>
    <w:p>
      <w:pPr>
        <w:jc w:val="both"/>
      </w:pPr>
      <w:r>
        <w:rPr/>
        <w:t xml:space="preserve"/>
      </w:r>
    </w:p>
    <w:p>
      <w:pPr>
        <w:jc w:val="both"/>
      </w:pPr>
      <w:r>
        <w:rPr/>
        <w:t xml:space="preserve">此外，文章还声称当昂贵的药物被批准并纳入公共医疗保健系统时，会对患者造成伤害、浪费重要资源并破坏平等和可负担得起的护理。然而，文章没有提供任何数据或实例来支持这一观点。它只是简单地陈述了一个假设，而没有提供任何证据来支持它。</w:t>
      </w:r>
    </w:p>
    <w:p>
      <w:pPr>
        <w:jc w:val="both"/>
      </w:pPr>
      <w:r>
        <w:rPr/>
        <w:t xml:space="preserve"/>
      </w:r>
    </w:p>
    <w:p>
      <w:pPr>
        <w:jc w:val="both"/>
      </w:pPr>
      <w:r>
        <w:rPr/>
        <w:t xml:space="preserve">此外，文章没有探讨可能存在的风险和挑战。它只关注了药物的成本和疗效问题，而忽视了其他可能的因素，如药物的安全性和可及性。这种片面报道导致了对整个问题的不完整理解。</w:t>
      </w:r>
    </w:p>
    <w:p>
      <w:pPr>
        <w:jc w:val="both"/>
      </w:pPr>
      <w:r>
        <w:rPr/>
        <w:t xml:space="preserve"/>
      </w:r>
    </w:p>
    <w:p>
      <w:pPr>
        <w:jc w:val="both"/>
      </w:pPr>
      <w:r>
        <w:rPr/>
        <w:t xml:space="preserve">最后，文章没有平等地呈现双方观点。它只关注了批评药物监管的观点，并没有提及任何支持当前监管体系的观点。这种偏袒导致了对问题的不公正和不全面的分析。</w:t>
      </w:r>
    </w:p>
    <w:p>
      <w:pPr>
        <w:jc w:val="both"/>
      </w:pPr>
      <w:r>
        <w:rPr/>
        <w:t xml:space="preserve"/>
      </w:r>
    </w:p>
    <w:p>
      <w:pPr>
        <w:jc w:val="both"/>
      </w:pPr>
      <w:r>
        <w:rPr/>
        <w:t xml:space="preserve">综上所述，这篇文章在对癌症药物监管进行批判性分析时存在一些潜在的偏见和片面报道。它缺乏充分的证据来支持其主张，并忽视了其他可能存在的因素和观点。因此，读者应该对其中提出的观点保持怀疑，并寻找更全面、客观的信息来形成自己的判断。</w:t>
      </w:r>
    </w:p>
    <w:p>
      <w:pPr>
        <w:pStyle w:val="Heading1"/>
      </w:pPr>
      <w:bookmarkStart w:id="5" w:name="_Toc5"/>
      <w:r>
        <w:t>Topics for further research:</w:t>
      </w:r>
      <w:bookmarkEnd w:id="5"/>
    </w:p>
    <w:p>
      <w:pPr>
        <w:spacing w:after="0"/>
        <w:numPr>
          <w:ilvl w:val="0"/>
          <w:numId w:val="2"/>
        </w:numPr>
      </w:pPr>
      <w:r>
        <w:rPr/>
        <w:t xml:space="preserve">癌症药物的疗效和生活质量改善
</w:t>
      </w:r>
    </w:p>
    <w:p>
      <w:pPr>
        <w:spacing w:after="0"/>
        <w:numPr>
          <w:ilvl w:val="0"/>
          <w:numId w:val="2"/>
        </w:numPr>
      </w:pPr>
      <w:r>
        <w:rPr/>
        <w:t xml:space="preserve">欧洲药品管理局（EMA）的审批过程和试验设计
</w:t>
      </w:r>
    </w:p>
    <w:p>
      <w:pPr>
        <w:spacing w:after="0"/>
        <w:numPr>
          <w:ilvl w:val="0"/>
          <w:numId w:val="2"/>
        </w:numPr>
      </w:pPr>
      <w:r>
        <w:rPr/>
        <w:t xml:space="preserve">昂贵药物对患者和医疗资源的影响
</w:t>
      </w:r>
    </w:p>
    <w:p>
      <w:pPr>
        <w:spacing w:after="0"/>
        <w:numPr>
          <w:ilvl w:val="0"/>
          <w:numId w:val="2"/>
        </w:numPr>
      </w:pPr>
      <w:r>
        <w:rPr/>
        <w:t xml:space="preserve">药物的安全性和可及性问题
</w:t>
      </w:r>
    </w:p>
    <w:p>
      <w:pPr>
        <w:spacing w:after="0"/>
        <w:numPr>
          <w:ilvl w:val="0"/>
          <w:numId w:val="2"/>
        </w:numPr>
      </w:pPr>
      <w:r>
        <w:rPr/>
        <w:t xml:space="preserve">其他可能存在的风险和挑战
</w:t>
      </w:r>
    </w:p>
    <w:p>
      <w:pPr>
        <w:numPr>
          <w:ilvl w:val="0"/>
          <w:numId w:val="2"/>
        </w:numPr>
      </w:pPr>
      <w:r>
        <w:rPr/>
        <w:t xml:space="preserve">对癌症药物监管的双方观点</w:t>
      </w:r>
    </w:p>
    <w:p>
      <w:pPr>
        <w:pStyle w:val="Heading1"/>
      </w:pPr>
      <w:bookmarkStart w:id="6" w:name="_Toc6"/>
      <w:r>
        <w:t>Report location:</w:t>
      </w:r>
      <w:bookmarkEnd w:id="6"/>
    </w:p>
    <w:p>
      <w:hyperlink r:id="rId8" w:history="1">
        <w:r>
          <w:rPr>
            <w:color w:val="2980b9"/>
            <w:u w:val="single"/>
          </w:rPr>
          <w:t xml:space="preserve">https://www.fullpicture.app/item/8e0d6eef3502fd14f28674c029632062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AD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95518/" TargetMode="External"/><Relationship Id="rId8" Type="http://schemas.openxmlformats.org/officeDocument/2006/relationships/hyperlink" Target="https://www.fullpicture.app/item/8e0d6eef3502fd14f28674c0296320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2024-07-14T08:19:04+02:00</dcterms:created>
  <dcterms:modified xsi:type="dcterms:W3CDTF">2024-07-14T08:19:04+02:00</dcterms:modified>
</cp:coreProperties>
</file>

<file path=docProps/custom.xml><?xml version="1.0" encoding="utf-8"?>
<Properties xmlns="http://schemas.openxmlformats.org/officeDocument/2006/custom-properties" xmlns:vt="http://schemas.openxmlformats.org/officeDocument/2006/docPropsVTypes"/>
</file>