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SSA - POMS: SI 00835.110 - When Home Ownership is the Living Arrangement (LA) Basis - 05/13/2011</w:t>
      </w:r>
      <w:br/>
      <w:hyperlink r:id="rId7" w:history="1">
        <w:r>
          <w:rPr>
            <w:color w:val="2980b9"/>
            <w:u w:val="single"/>
          </w:rPr>
          <w:t xml:space="preserve">https://secure.ssa.gov/apps10/poms.nsf/lnx/0500835110</w:t>
        </w:r>
      </w:hyperlink>
    </w:p>
    <w:p>
      <w:pPr>
        <w:pStyle w:val="Heading1"/>
      </w:pPr>
      <w:bookmarkStart w:id="2" w:name="_Toc2"/>
      <w:r>
        <w:t>Article summary:</w:t>
      </w:r>
      <w:bookmarkEnd w:id="2"/>
    </w:p>
    <w:p>
      <w:pPr>
        <w:jc w:val="both"/>
      </w:pPr>
      <w:r>
        <w:rPr/>
        <w:t xml:space="preserve">1. The Value of the One-Third Reduction (VTR) never applies when a beneficiary is in his or her own household.</w:t>
      </w:r>
    </w:p>
    <w:p>
      <w:pPr>
        <w:jc w:val="both"/>
      </w:pPr>
      <w:r>
        <w:rPr/>
        <w:t xml:space="preserve">2. Any In-Kind Support and Maintenance (ISM) the beneficiary receives is subject to the Presumed Maximum Value (PMV) rule.</w:t>
      </w:r>
    </w:p>
    <w:p>
      <w:pPr>
        <w:jc w:val="both"/>
      </w:pPr>
      <w:r>
        <w:rPr/>
        <w:t xml:space="preserve">3. When determining home ownership, an individual's allegation should be accepted unless there is some indication to the contrary or if they are a child under 18 not living with their parent(s).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clear information on how to determine home ownership for beneficiaries living in their own households. It outlines the policy on ISM and VTR, as well as procedures for documenting an allegation of home ownership. The article appears to be reliable and trustworthy, as it provides clear instructions and guidelines that are supported by evidence from other sources such as TN 66 (05-11). The article does not appear to have any biases or one-sided reporting, as it presents both sides of the argument equally and objectively. Furthermore, all potential risks are noted and explored in detail. There does not appear to be any missing points of consideration or missing evidence for the claims made, nor any unexplored counterarguments or promotional content. All in 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Home ownership for beneficiaries</w:t>
      </w:r>
    </w:p>
    <w:p>
      <w:pPr>
        <w:spacing w:after="0"/>
        <w:numPr>
          <w:ilvl w:val="0"/>
          <w:numId w:val="2"/>
        </w:numPr>
      </w:pPr>
      <w:r>
        <w:rPr/>
        <w:t xml:space="preserve">ISM and VTR policy</w:t>
      </w:r>
    </w:p>
    <w:p>
      <w:pPr>
        <w:spacing w:after="0"/>
        <w:numPr>
          <w:ilvl w:val="0"/>
          <w:numId w:val="2"/>
        </w:numPr>
      </w:pPr>
      <w:r>
        <w:rPr/>
        <w:t xml:space="preserve">Documenting home ownership allegations</w:t>
      </w:r>
    </w:p>
    <w:p>
      <w:pPr>
        <w:spacing w:after="0"/>
        <w:numPr>
          <w:ilvl w:val="0"/>
          <w:numId w:val="2"/>
        </w:numPr>
      </w:pPr>
      <w:r>
        <w:rPr/>
        <w:t xml:space="preserve">TN 66 (05-11)</w:t>
      </w:r>
    </w:p>
    <w:p>
      <w:pPr>
        <w:spacing w:after="0"/>
        <w:numPr>
          <w:ilvl w:val="0"/>
          <w:numId w:val="2"/>
        </w:numPr>
      </w:pPr>
      <w:r>
        <w:rPr/>
        <w:t xml:space="preserve">Home ownership risks</w:t>
      </w:r>
    </w:p>
    <w:p>
      <w:pPr>
        <w:numPr>
          <w:ilvl w:val="0"/>
          <w:numId w:val="2"/>
        </w:numPr>
      </w:pPr>
      <w:r>
        <w:rPr/>
        <w:t xml:space="preserve">Home ownership counterarguments</w:t>
      </w:r>
    </w:p>
    <w:p>
      <w:pPr>
        <w:pStyle w:val="Heading1"/>
      </w:pPr>
      <w:bookmarkStart w:id="6" w:name="_Toc6"/>
      <w:r>
        <w:t>Report location:</w:t>
      </w:r>
      <w:bookmarkEnd w:id="6"/>
    </w:p>
    <w:p>
      <w:hyperlink r:id="rId8" w:history="1">
        <w:r>
          <w:rPr>
            <w:color w:val="2980b9"/>
            <w:u w:val="single"/>
          </w:rPr>
          <w:t xml:space="preserve">https://www.fullpicture.app/item/8e7b6825114738ea6cf0753c7abff07c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47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cure.ssa.gov/apps10/poms.nsf/lnx/0500835110" TargetMode="External"/><Relationship Id="rId8" Type="http://schemas.openxmlformats.org/officeDocument/2006/relationships/hyperlink" Target="https://www.fullpicture.app/item/8e7b6825114738ea6cf0753c7abff0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2023-02-19T21:06:27+01:00</dcterms:created>
  <dcterms:modified xsi:type="dcterms:W3CDTF">2023-02-19T21:06:27+01:00</dcterms:modified>
</cp:coreProperties>
</file>

<file path=docProps/custom.xml><?xml version="1.0" encoding="utf-8"?>
<Properties xmlns="http://schemas.openxmlformats.org/officeDocument/2006/custom-properties" xmlns:vt="http://schemas.openxmlformats.org/officeDocument/2006/docPropsVTypes"/>
</file>