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Tension-compression asymmetry of stress-relaxation ageing behavior of AA2219 alloy over a wide range of stress levels - ScienceDirect</w:t>
      </w:r>
      <w:br/>
      <w:hyperlink r:id="rId7" w:history="1">
        <w:r>
          <w:rPr>
            <w:color w:val="2980b9"/>
            <w:u w:val="single"/>
          </w:rPr>
          <w:t xml:space="preserve">https://www.sciencedirect.com/science/article/pii/S0921509321009989</w:t>
        </w:r>
      </w:hyperlink>
    </w:p>
    <w:p>
      <w:pPr>
        <w:pStyle w:val="Heading1"/>
      </w:pPr>
      <w:bookmarkStart w:id="2" w:name="_Toc2"/>
      <w:r>
        <w:t>Article summary:</w:t>
      </w:r>
      <w:bookmarkEnd w:id="2"/>
    </w:p>
    <w:p>
      <w:pPr>
        <w:jc w:val="both"/>
      </w:pPr>
      <w:r>
        <w:rPr/>
        <w:t xml:space="preserve">1. AA2219 alloy exhibits asymmetric stress-relaxation ageing behavior under tension and compression loading conditions, with relaxed stresses in tension being much larger than those in compression.</w:t>
      </w:r>
    </w:p>
    <w:p>
      <w:pPr>
        <w:jc w:val="both"/>
      </w:pPr>
      <w:r>
        <w:rPr/>
        <w:t xml:space="preserve">2. The yield strength in tension increases monotonously with increasing initial stress, while it remains basically unchanged with only a slight fluctuation of 8 MPa in compression.</w:t>
      </w:r>
    </w:p>
    <w:p>
      <w:pPr>
        <w:jc w:val="both"/>
      </w:pPr>
      <w:r>
        <w:rPr/>
        <w:t xml:space="preserve">3. Microstructural analysis reveals that the mechanisms for asymmetric deformation and strengthening are due to the presence of GP zones, θ'' phases, and massive dislocations caused by loading and main strengthening θ′ promoted by dislocations.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作为一篇科学论文，该文章在研究AA2219合金的应力松弛老化行为方面做出了一定的贡献。然而，在其内容中也存在一些潜在的偏见和问题。</w:t>
      </w:r>
    </w:p>
    <w:p>
      <w:pPr>
        <w:jc w:val="both"/>
      </w:pPr>
      <w:r>
        <w:rPr/>
        <w:t xml:space="preserve"/>
      </w:r>
    </w:p>
    <w:p>
      <w:pPr>
        <w:jc w:val="both"/>
      </w:pPr>
      <w:r>
        <w:rPr/>
        <w:t xml:space="preserve">首先，文章没有充分考虑到可能存在的风险和局限性。例如，作者并未探讨AA2219合金在不同温度下的应力松弛老化行为是否存在差异，也未对其它因素（如氧化、腐蚀等）对实验结果的影响进行充分评估。此外，文章中提到了CAF技术作为制造大型薄壁构件的首选方法，但并未探讨该技术是否存在缺陷或局限性。</w:t>
      </w:r>
    </w:p>
    <w:p>
      <w:pPr>
        <w:jc w:val="both"/>
      </w:pPr>
      <w:r>
        <w:rPr/>
        <w:t xml:space="preserve"/>
      </w:r>
    </w:p>
    <w:p>
      <w:pPr>
        <w:jc w:val="both"/>
      </w:pPr>
      <w:r>
        <w:rPr/>
        <w:t xml:space="preserve">其次，文章可能存在片面报道和偏袒现象。例如，在描述AA2219合金在拉伸和压缩加载条件下的应力松弛老化行为时，作者只关注了拉伸状态下的表现，并未充分探讨压缩状态下的情况。此外，在解释拉伸和压缩状态下变形和强化机制时，作者更倾向于从微观结构角度出发解释拉伸状态下较高的屈服强度，并未充分考虑其他可能因素（如晶体取向、位错密度等）对结果产生影响。</w:t>
      </w:r>
    </w:p>
    <w:p>
      <w:pPr>
        <w:jc w:val="both"/>
      </w:pPr>
      <w:r>
        <w:rPr/>
        <w:t xml:space="preserve"/>
      </w:r>
    </w:p>
    <w:p>
      <w:pPr>
        <w:jc w:val="both"/>
      </w:pPr>
      <w:r>
        <w:rPr/>
        <w:t xml:space="preserve">最后，文章中提出了一些主张，但并未提供足够证据来支持这些主张。例如，在解释低初始应力区域内AA2219合金在压缩状态下比拉伸状态具有更高屈服强度时，作者认为这是由于GP区和θ''相尺寸较大且应力定向效应较弱所致。然而，并没有提供足够证据来支持这种解释。</w:t>
      </w:r>
    </w:p>
    <w:p>
      <w:pPr>
        <w:jc w:val="both"/>
      </w:pPr>
      <w:r>
        <w:rPr/>
        <w:t xml:space="preserve"/>
      </w:r>
    </w:p>
    <w:p>
      <w:pPr>
        <w:jc w:val="both"/>
      </w:pPr>
      <w:r>
        <w:rPr/>
        <w:t xml:space="preserve">综上所述，该文章虽然有一定价值，但仍需要进一步完善和改进以避免潜在偏见和问题。</w:t>
      </w:r>
    </w:p>
    <w:p>
      <w:pPr>
        <w:pStyle w:val="Heading1"/>
      </w:pPr>
      <w:bookmarkStart w:id="5" w:name="_Toc5"/>
      <w:r>
        <w:t>Topics for further research:</w:t>
      </w:r>
      <w:bookmarkEnd w:id="5"/>
    </w:p>
    <w:p>
      <w:pPr>
        <w:spacing w:after="0"/>
        <w:numPr>
          <w:ilvl w:val="0"/>
          <w:numId w:val="2"/>
        </w:numPr>
      </w:pPr>
      <w:r>
        <w:rPr/>
        <w:t xml:space="preserve">AA2219 alloy stress relaxation aging behavior at different temperatures
</w:t>
      </w:r>
    </w:p>
    <w:p>
      <w:pPr>
        <w:spacing w:after="0"/>
        <w:numPr>
          <w:ilvl w:val="0"/>
          <w:numId w:val="2"/>
        </w:numPr>
      </w:pPr>
      <w:r>
        <w:rPr/>
        <w:t xml:space="preserve">Influence of factors such as oxidation and corrosion on experimental results
</w:t>
      </w:r>
    </w:p>
    <w:p>
      <w:pPr>
        <w:spacing w:after="0"/>
        <w:numPr>
          <w:ilvl w:val="0"/>
          <w:numId w:val="2"/>
        </w:numPr>
      </w:pPr>
      <w:r>
        <w:rPr/>
        <w:t xml:space="preserve">Limitations and potential risks of using CAF technology for manufacturing large thin-walled components
</w:t>
      </w:r>
    </w:p>
    <w:p>
      <w:pPr>
        <w:spacing w:after="0"/>
        <w:numPr>
          <w:ilvl w:val="0"/>
          <w:numId w:val="2"/>
        </w:numPr>
      </w:pPr>
      <w:r>
        <w:rPr/>
        <w:t xml:space="preserve">Stress relaxation aging behavior of AA2219 alloy under compression loading conditions
</w:t>
      </w:r>
    </w:p>
    <w:p>
      <w:pPr>
        <w:spacing w:after="0"/>
        <w:numPr>
          <w:ilvl w:val="0"/>
          <w:numId w:val="2"/>
        </w:numPr>
      </w:pPr>
      <w:r>
        <w:rPr/>
        <w:t xml:space="preserve">Other possible factors affecting deformation and strengthening mechanisms under tension and compression loading conditions
</w:t>
      </w:r>
    </w:p>
    <w:p>
      <w:pPr>
        <w:numPr>
          <w:ilvl w:val="0"/>
          <w:numId w:val="2"/>
        </w:numPr>
      </w:pPr>
      <w:r>
        <w:rPr/>
        <w:t xml:space="preserve">Evidence supporting the explanation for the higher yield strength of AA2219 alloy under compression loading conditions in the low initial stress region</w:t>
      </w:r>
    </w:p>
    <w:p>
      <w:pPr>
        <w:pStyle w:val="Heading1"/>
      </w:pPr>
      <w:bookmarkStart w:id="6" w:name="_Toc6"/>
      <w:r>
        <w:t>Report location:</w:t>
      </w:r>
      <w:bookmarkEnd w:id="6"/>
    </w:p>
    <w:p>
      <w:hyperlink r:id="rId8" w:history="1">
        <w:r>
          <w:rPr>
            <w:color w:val="2980b9"/>
            <w:u w:val="single"/>
          </w:rPr>
          <w:t xml:space="preserve">https://www.fullpicture.app/item/8f341a7eb8902cc862e94a1cbac8c412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67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21009989" TargetMode="External"/><Relationship Id="rId8" Type="http://schemas.openxmlformats.org/officeDocument/2006/relationships/hyperlink" Target="https://www.fullpicture.app/item/8f341a7eb8902cc862e94a1cbac8c4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2023-12-27T15:12:32+01:00</dcterms:created>
  <dcterms:modified xsi:type="dcterms:W3CDTF">2023-12-27T15:12:32+01:00</dcterms:modified>
</cp:coreProperties>
</file>

<file path=docProps/custom.xml><?xml version="1.0" encoding="utf-8"?>
<Properties xmlns="http://schemas.openxmlformats.org/officeDocument/2006/custom-properties" xmlns:vt="http://schemas.openxmlformats.org/officeDocument/2006/docPropsVTypes"/>
</file>