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Tissue engineering: TGF-beta superfamily members and delivery systems in bone regeneration - PubMed</w:t>
      </w:r>
      <w:br/>
      <w:hyperlink r:id="rId7" w:history="1">
        <w:r>
          <w:rPr>
            <w:color w:val="2980b9"/>
            <w:u w:val="single"/>
          </w:rPr>
          <w:t xml:space="preserve">https://pubmed.ncbi.nlm.nih.gov/14585158/</w:t>
        </w:r>
      </w:hyperlink>
    </w:p>
    <w:p>
      <w:pPr>
        <w:pStyle w:val="Heading1"/>
      </w:pPr>
      <w:bookmarkStart w:id="2" w:name="_Toc2"/>
      <w:r>
        <w:t>Article summary:</w:t>
      </w:r>
      <w:bookmarkEnd w:id="2"/>
    </w:p>
    <w:p>
      <w:pPr>
        <w:jc w:val="both"/>
      </w:pPr>
      <w:r>
        <w:rPr/>
        <w:t xml:space="preserve">1. The induction of bone formation requires three parameters that interact in a highly regulated process: soluble osteoinductive signals, capable responding cells, and a supporting matrix substratum or insoluble signal. </w:t>
      </w:r>
    </w:p>
    <w:p>
      <w:pPr>
        <w:jc w:val="both"/>
      </w:pPr>
      <w:r>
        <w:rPr/>
        <w:t xml:space="preserve">2. The use of recombinant and naturally derived bone morphogenetic proteins and transforming growth factor beta(s) (TGF-beta(s)) has increased understanding of the functions of these morphogens during the induction of endochondral bone formation. </w:t>
      </w:r>
    </w:p>
    <w:p>
      <w:pPr>
        <w:jc w:val="both"/>
      </w:pPr>
      <w:r>
        <w:rPr/>
        <w:t xml:space="preserve">3. Growing understanding of the cellular interactions of living tissues with synthetic biomaterials has led to the in vivo induction of bone formation using porous biomimetic matrices as an alternative to autografts for bone regeneration.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tissue engineering techniques related to TGF-beta superfamily members and delivery systems in bone regeneration. It is well-referenced, citing relevant studies from reputable sources such as J Bone Joint Surg Am., J Anat., J Craniofac Surg., Cytokine Growth Factor Rev., Anat Histol Embryol., Bioengineering (Basel), and Bioact Mater. The article does not appear to be biased or one-sided, as it presents both sides equally by providing an overview of both natural and synthetic approaches to tissue engineering for bone regeneration. Furthermore, it does not appear to contain any promotional content or partiality towards any particular approach or technique. The article also mentions potential risks associated with certain approaches, such as the use of autografts for bone regeneration, which could lead to complications such as infection or rejection.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Bone regeneration techniques</w:t>
      </w:r>
    </w:p>
    <w:p>
      <w:pPr>
        <w:spacing w:after="0"/>
        <w:numPr>
          <w:ilvl w:val="0"/>
          <w:numId w:val="2"/>
        </w:numPr>
      </w:pPr>
      <w:r>
        <w:rPr/>
        <w:t xml:space="preserve">TGF-beta superfamily</w:t>
      </w:r>
    </w:p>
    <w:p>
      <w:pPr>
        <w:spacing w:after="0"/>
        <w:numPr>
          <w:ilvl w:val="0"/>
          <w:numId w:val="2"/>
        </w:numPr>
      </w:pPr>
      <w:r>
        <w:rPr/>
        <w:t xml:space="preserve">Delivery systems for bone regeneration</w:t>
      </w:r>
    </w:p>
    <w:p>
      <w:pPr>
        <w:spacing w:after="0"/>
        <w:numPr>
          <w:ilvl w:val="0"/>
          <w:numId w:val="2"/>
        </w:numPr>
      </w:pPr>
      <w:r>
        <w:rPr/>
        <w:t xml:space="preserve">Autografts for bone regeneration</w:t>
      </w:r>
    </w:p>
    <w:p>
      <w:pPr>
        <w:spacing w:after="0"/>
        <w:numPr>
          <w:ilvl w:val="0"/>
          <w:numId w:val="2"/>
        </w:numPr>
      </w:pPr>
      <w:r>
        <w:rPr/>
        <w:t xml:space="preserve">Tissue engineering for bone regeneration</w:t>
      </w:r>
    </w:p>
    <w:p>
      <w:pPr>
        <w:numPr>
          <w:ilvl w:val="0"/>
          <w:numId w:val="2"/>
        </w:numPr>
      </w:pPr>
      <w:r>
        <w:rPr/>
        <w:t xml:space="preserve">Risks associated with bone regeneration</w:t>
      </w:r>
    </w:p>
    <w:p>
      <w:pPr>
        <w:pStyle w:val="Heading1"/>
      </w:pPr>
      <w:bookmarkStart w:id="6" w:name="_Toc6"/>
      <w:r>
        <w:t>Report location:</w:t>
      </w:r>
      <w:bookmarkEnd w:id="6"/>
    </w:p>
    <w:p>
      <w:hyperlink r:id="rId8" w:history="1">
        <w:r>
          <w:rPr>
            <w:color w:val="2980b9"/>
            <w:u w:val="single"/>
          </w:rPr>
          <w:t xml:space="preserve">https://www.fullpicture.app/item/9005e33f72465726f216af229b35e1b3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4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4585158/" TargetMode="External"/><Relationship Id="rId8" Type="http://schemas.openxmlformats.org/officeDocument/2006/relationships/hyperlink" Target="https://www.fullpicture.app/item/9005e33f72465726f216af229b35e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2023-02-23T06:45:07+01:00</dcterms:created>
  <dcterms:modified xsi:type="dcterms:W3CDTF">2023-02-23T06:45:07+01:00</dcterms:modified>
</cp:coreProperties>
</file>

<file path=docProps/custom.xml><?xml version="1.0" encoding="utf-8"?>
<Properties xmlns="http://schemas.openxmlformats.org/officeDocument/2006/custom-properties" xmlns:vt="http://schemas.openxmlformats.org/officeDocument/2006/docPropsVTypes"/>
</file>