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SIM0417 （SSD8432） 加利托那韦治疗 COVID-19 的疗效和安全性：一项随机、双盲、安慰剂对照的 1b 期试验 - 柳叶刀地区卫生 - 西太平洋</w:t>
      </w:r>
      <w:br/>
      <w:hyperlink r:id="rId7" w:history="1">
        <w:r>
          <w:rPr>
            <w:color w:val="2980b9"/>
            <w:u w:val="single"/>
          </w:rPr>
          <w:t xml:space="preserve">https://www.thelancet.com/journals/lanwpc/article/PIIS2666-6065(23)00153-0/fulltext</w:t>
        </w:r>
      </w:hyperlink>
    </w:p>
    <w:p>
      <w:pPr>
        <w:pStyle w:val="Heading1"/>
      </w:pPr>
      <w:bookmarkStart w:id="2" w:name="_Toc2"/>
      <w:r>
        <w:t>Article summary:</w:t>
      </w:r>
      <w:bookmarkEnd w:id="2"/>
    </w:p>
    <w:p>
      <w:pPr>
        <w:jc w:val="both"/>
      </w:pPr>
      <w:r>
        <w:rPr/>
        <w:t xml:space="preserve">1. SIM0417是一种口服冠状病毒主蛋白酶抑制剂，具有潜在的抗SARS-CoV-2活性。</w:t>
      </w:r>
    </w:p>
    <w:p>
      <w:pPr>
        <w:jc w:val="both"/>
      </w:pPr>
      <w:r>
        <w:rPr/>
        <w:t xml:space="preserve">2. SIM0417加利托那韦在COVID-19患者中显示出较低的病毒载量变化和较短的症状缓解时间。</w:t>
      </w:r>
    </w:p>
    <w:p>
      <w:pPr>
        <w:jc w:val="both"/>
      </w:pPr>
      <w:r>
        <w:rPr/>
        <w:t xml:space="preserve">3. SIM0417联合利托那韦对不良事件的耐受性良好，推荐临床剂量为750 mg SIM0417加100 mg利托那韦。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潜在偏见及其来源：文章没有提供作者的背景信息，也没有明确说明研究是否存在潜在的利益冲突。此外，文章指出该研究由江苏先声药业有限公司资助，这可能引发对研究结果的商业利益偏见。</w:t>
      </w:r>
    </w:p>
    <w:p>
      <w:pPr>
        <w:jc w:val="both"/>
      </w:pPr>
      <w:r>
        <w:rPr/>
        <w:t xml:space="preserve"/>
      </w:r>
    </w:p>
    <w:p>
      <w:pPr>
        <w:jc w:val="both"/>
      </w:pPr>
      <w:r>
        <w:rPr/>
        <w:t xml:space="preserve">2. 片面报道：文章只提到了SIM0417加利托那韦治疗COVID-19的潜在疗效和安全性，但未提及其他可能的治疗方法或药物。这种片面报道可能导致读者对该治疗方法的效果和优势有过高期望。</w:t>
      </w:r>
    </w:p>
    <w:p>
      <w:pPr>
        <w:jc w:val="both"/>
      </w:pPr>
      <w:r>
        <w:rPr/>
        <w:t xml:space="preserve"/>
      </w:r>
    </w:p>
    <w:p>
      <w:pPr>
        <w:jc w:val="both"/>
      </w:pPr>
      <w:r>
        <w:rPr/>
        <w:t xml:space="preserve">3. 无根据的主张：文章声称SIM0417联合利托那韦对所有不良事件具有良好耐受性，但未提供相关数据或证据来支持这一主张。缺乏具体数据使得读者难以评估该治疗方法的真实安全性。</w:t>
      </w:r>
    </w:p>
    <w:p>
      <w:pPr>
        <w:jc w:val="both"/>
      </w:pPr>
      <w:r>
        <w:rPr/>
        <w:t xml:space="preserve"/>
      </w:r>
    </w:p>
    <w:p>
      <w:pPr>
        <w:jc w:val="both"/>
      </w:pPr>
      <w:r>
        <w:rPr/>
        <w:t xml:space="preserve">4. 缺失的考虑点：文章未讨论SIM0417加利托那韦与其他药物或治疗方法之间的相互作用。此外，文章也未提及该治疗方法可能存在的副作用或风险。</w:t>
      </w:r>
    </w:p>
    <w:p>
      <w:pPr>
        <w:jc w:val="both"/>
      </w:pPr>
      <w:r>
        <w:rPr/>
        <w:t xml:space="preserve"/>
      </w:r>
    </w:p>
    <w:p>
      <w:pPr>
        <w:jc w:val="both"/>
      </w:pPr>
      <w:r>
        <w:rPr/>
        <w:t xml:space="preserve">5. 所提出主张的缺失证据：文章声称SIM0417加利托那韦对COVID-19的疗效呈单调剂量-反应关系，并选择了750 mg SIM0417加100 mg利托那韦作为推荐临床剂量。然而，文章未提供具体数据或研究结果来支持这一主张。</w:t>
      </w:r>
    </w:p>
    <w:p>
      <w:pPr>
        <w:jc w:val="both"/>
      </w:pPr>
      <w:r>
        <w:rPr/>
        <w:t xml:space="preserve"/>
      </w:r>
    </w:p>
    <w:p>
      <w:pPr>
        <w:jc w:val="both"/>
      </w:pPr>
      <w:r>
        <w:rPr/>
        <w:t xml:space="preserve">6. 未探索的反驳：文章未探讨其他研究或观点对SIM0417加利托那韦治疗COVID-19的有效性和安全性的质疑。这种未探索反驳可能导致读者对该治疗方法的真实效果和风险缺乏全面了解。</w:t>
      </w:r>
    </w:p>
    <w:p>
      <w:pPr>
        <w:jc w:val="both"/>
      </w:pPr>
      <w:r>
        <w:rPr/>
        <w:t xml:space="preserve"/>
      </w:r>
    </w:p>
    <w:p>
      <w:pPr>
        <w:jc w:val="both"/>
      </w:pPr>
      <w:r>
        <w:rPr/>
        <w:t xml:space="preserve">7. 宣传内容：文章中提到该研究由江苏先声药业有限公司资助，这可能使得读者怀疑文章是否存在宣传内容或商业利益偏见。</w:t>
      </w:r>
    </w:p>
    <w:p>
      <w:pPr>
        <w:jc w:val="both"/>
      </w:pPr>
      <w:r>
        <w:rPr/>
        <w:t xml:space="preserve"/>
      </w:r>
    </w:p>
    <w:p>
      <w:pPr>
        <w:jc w:val="both"/>
      </w:pPr>
      <w:r>
        <w:rPr/>
        <w:t xml:space="preserve">综上所述，上述文章存在潜在偏见及其来源、片面报道、无根据的主张、缺失的考虑点、所提出主张的缺失证据、未探索的反驳和宣传内容等问题。读者需要谨慎评估该文章中提出的治疗方法的有效性和安全性，并寻找更多相关信息以进行全面评估。</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利益冲突
</w:t>
      </w:r>
    </w:p>
    <w:p>
      <w:pPr>
        <w:spacing w:after="0"/>
        <w:numPr>
          <w:ilvl w:val="0"/>
          <w:numId w:val="2"/>
        </w:numPr>
      </w:pPr>
      <w:r>
        <w:rPr/>
        <w:t xml:space="preserve">其他治疗方法或药物
</w:t>
      </w:r>
    </w:p>
    <w:p>
      <w:pPr>
        <w:spacing w:after="0"/>
        <w:numPr>
          <w:ilvl w:val="0"/>
          <w:numId w:val="2"/>
        </w:numPr>
      </w:pPr>
      <w:r>
        <w:rPr/>
        <w:t xml:space="preserve">不良事件的耐受性数据
</w:t>
      </w:r>
    </w:p>
    <w:p>
      <w:pPr>
        <w:spacing w:after="0"/>
        <w:numPr>
          <w:ilvl w:val="0"/>
          <w:numId w:val="2"/>
        </w:numPr>
      </w:pPr>
      <w:r>
        <w:rPr/>
        <w:t xml:space="preserve">相互作用和副作用
</w:t>
      </w:r>
    </w:p>
    <w:p>
      <w:pPr>
        <w:numPr>
          <w:ilvl w:val="0"/>
          <w:numId w:val="2"/>
        </w:numPr>
      </w:pPr>
      <w:r>
        <w:rPr/>
        <w:t xml:space="preserve">具体数据和研究结果</w:t>
      </w:r>
    </w:p>
    <w:p>
      <w:pPr>
        <w:pStyle w:val="Heading1"/>
      </w:pPr>
      <w:bookmarkStart w:id="6" w:name="_Toc6"/>
      <w:r>
        <w:t>Report location:</w:t>
      </w:r>
      <w:bookmarkEnd w:id="6"/>
    </w:p>
    <w:p>
      <w:hyperlink r:id="rId8" w:history="1">
        <w:r>
          <w:rPr>
            <w:color w:val="2980b9"/>
            <w:u w:val="single"/>
          </w:rPr>
          <w:t xml:space="preserve">https://www.fullpicture.app/item/909283ea93b55e0c42159844d5539b49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B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wpc/article/PIIS2666-6065(23)00153-0/fulltext" TargetMode="External"/><Relationship Id="rId8" Type="http://schemas.openxmlformats.org/officeDocument/2006/relationships/hyperlink" Target="https://www.fullpicture.app/item/909283ea93b55e0c42159844d5539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2024-03-10T18:46:18+01:00</dcterms:created>
  <dcterms:modified xsi:type="dcterms:W3CDTF">2024-03-10T18:46:18+01:00</dcterms:modified>
</cp:coreProperties>
</file>

<file path=docProps/custom.xml><?xml version="1.0" encoding="utf-8"?>
<Properties xmlns="http://schemas.openxmlformats.org/officeDocument/2006/custom-properties" xmlns:vt="http://schemas.openxmlformats.org/officeDocument/2006/docPropsVTypes"/>
</file>