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irisin - Search Results - PubMed</w:t></w:r><w:br/><w:hyperlink r:id="rId7" w:history="1"><w:r><w:rPr><w:color w:val="2980b9"/><w:u w:val="single"/></w:rPr><w:t xml:space="preserve">https://pubmed.ncbi.nlm.nih.gov/?term=irisin&sort=date</w:t></w:r></w:hyperlink></w:p><w:p><w:pPr><w:pStyle w:val="Heading1"/></w:pPr><w:bookmarkStart w:id="2" w:name="_Toc2"/><w:r><w:t>Article summary:</w:t></w:r><w:bookmarkEnd w:id="2"/></w:p><w:p><w:pPr><w:jc w:val="both"/></w:pPr><w:r><w:rPr/><w:t xml:space="preserve">1. A study was conducted to investigate the correlation between serum irisin levels and osteoporosis in patients with advanced chronic kidney disease and renal transplant recipients.</w:t></w:r></w:p><w:p><w:pPr><w:jc w:val="both"/></w:pPr><w:r><w:rPr/><w:t xml:space="preserve">2. The results showed that serum irisin levels were positively correlated with lumbar T-score in both hemodialysis and RTR groups.</w:t></w:r></w:p><w:p><w:pPr><w:jc w:val="both"/></w:pPr><w:r><w:rPr/><w:t xml:space="preserve">3. Additionally, a higher expression of ADAM10 in skeletal muscle of patients with idiopathic inflammatorymyopathies could be responsible for FNDC5/irisin unbalance, while irisin modulates inflammatory, angiogenic, and osteogenic factors during fracture healing.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evidence from a study conducted to investigate the correlation between serum irisin levels and osteoporosis in patients with advanced chronic kidney disease and renal transplant recipients. The results of the study are presented clearly, providing evidence for the claims made throughout the article. Furthermore, the article does not appear to be biased or one-sided as it presents both sides of the argument equally. However, there are some potential biases that should be noted such as promotional content or partiality towards certain points of view which may not be supported by evidence. Additionally, there are some missing points of consideration such as possible risks associated with elevated expression of ADAM10 or unexplored counterarguments which could have been included in order to provide a more comprehensive overview of the topic discussed in the article.</w:t></w:r></w:p><w:p><w:pPr><w:pStyle w:val="Heading1"/></w:pPr><w:bookmarkStart w:id="5" w:name="_Toc5"/><w:r><w:t>Topics for further research:</w:t></w:r><w:bookmarkEnd w:id="5"/></w:p><w:p><w:pPr><w:spacing w:after="0"/><w:numPr><w:ilvl w:val="0"/><w:numId w:val="2"/></w:numPr></w:pPr><w:r><w:rPr/><w:t xml:space="preserve">ADAM10 expression risks</w:t></w:r></w:p><w:p><w:pPr><w:spacing w:after="0"/><w:numPr><w:ilvl w:val="0"/><w:numId w:val="2"/></w:numPr></w:pPr><w:r><w:rPr/><w:t xml:space="preserve">Osteoporosis risk factors</w:t></w:r></w:p><w:p><w:pPr><w:spacing w:after="0"/><w:numPr><w:ilvl w:val="0"/><w:numId w:val="2"/></w:numPr></w:pPr><w:r><w:rPr/><w:t xml:space="preserve">Chronic kidney disease management</w:t></w:r></w:p><w:p><w:pPr><w:spacing w:after="0"/><w:numPr><w:ilvl w:val="0"/><w:numId w:val="2"/></w:numPr></w:pPr><w:r><w:rPr/><w:t xml:space="preserve">Renal transplant complications</w:t></w:r></w:p><w:p><w:pPr><w:spacing w:after="0"/><w:numPr><w:ilvl w:val="0"/><w:numId w:val="2"/></w:numPr></w:pPr><w:r><w:rPr/><w:t xml:space="preserve">Irisin levels and bone health</w:t></w:r></w:p><w:p><w:pPr><w:numPr><w:ilvl w:val="0"/><w:numId w:val="2"/></w:numPr></w:pPr><w:r><w:rPr/><w:t xml:space="preserve">Osteoporosis prevention strategies</w:t></w:r></w:p><w:p><w:pPr><w:pStyle w:val="Heading1"/></w:pPr><w:bookmarkStart w:id="6" w:name="_Toc6"/><w:r><w:t>Report location:</w:t></w:r><w:bookmarkEnd w:id="6"/></w:p><w:p><w:hyperlink r:id="rId8" w:history="1"><w:r><w:rPr><w:color w:val="2980b9"/><w:u w:val="single"/></w:rPr><w:t xml:space="preserve">https://www.fullpicture.app/item/914c321babdd9af78d5116862463cf2f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7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irisin&amp;sort=date" TargetMode="External"/><Relationship Id="rId8" Type="http://schemas.openxmlformats.org/officeDocument/2006/relationships/hyperlink" Target="https://www.fullpicture.app/item/914c321babdd9af78d5116862463cf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2023-02-25T06:29:59+01:00</dcterms:created>
  <dcterms:modified xsi:type="dcterms:W3CDTF">2023-02-25T06:29:59+01:00</dcterms:modified>
</cp:coreProperties>
</file>

<file path=docProps/custom.xml><?xml version="1.0" encoding="utf-8"?>
<Properties xmlns="http://schemas.openxmlformats.org/officeDocument/2006/custom-properties" xmlns:vt="http://schemas.openxmlformats.org/officeDocument/2006/docPropsVTypes"/>
</file>