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COVID-19 和急性肾损伤的透析过滤器寿命、抗凝和炎症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https://www.ncbi.nlm.nih.gov/pmc/articles/PMC8815528/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COVID-19住院患者中发生急性肾损伤（AKI）需要透析的比例为5%-20%。</w:t>
      </w:r>
    </w:p>
    <w:p>
      <w:pPr>
        <w:jc w:val="both"/>
      </w:pPr>
      <w:r>
        <w:rPr/>
        <w:t xml:space="preserve">2. COVID-19患者在透析过程中存在较高的凝血风险，滤器寿命较短。</w:t>
      </w:r>
    </w:p>
    <w:p>
      <w:pPr>
        <w:jc w:val="both"/>
      </w:pPr>
      <w:r>
        <w:rPr/>
        <w:t xml:space="preserve">3. 通过回顾性研究发现，与COVID-19前时代相比，COVID-19患者在透析传递和电路中断方面存在差异。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这篇文章的标题是“COVID-19和急性肾损伤的透析过滤器寿命、抗凝和炎症 - PMC”。根据文章的摘要，它主要讨论了COVID-19患者中发生急性肾损伤需要透析治疗时，透析滤器的寿命、抗凝治疗和炎症等问题。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然而，由于只有文章的摘要部分提供了信息，我们无法对整篇文章进行详细的批判性分析。以下是一些可能存在的偏见或不足之处：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全面数据：由于我们只能看到文章的摘要部分，我们无法评估作者是否提供了全面、客观的数据来支持他们的主张。如果作者没有提供足够的数据或仅选择性地报道结果，那么这篇文章可能存在片面报道或缺失考虑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支持：在摘要中，并没有提到作者提供了哪些具体证据来支持他们关于透析滤器寿命、抗凝治疗和炎症等方面的主张。如果作者没有提供充分的科学证据来支持他们的观点，那么这篇文章可能存在无根据的主张或缺失证据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缺乏反驳探讨：在摘要中，并没有提到作者是否对可能存在的反驳观点进行了探讨。如果作者没有充分考虑和回应可能存在的反驳观点，那么这篇文章可能存在未探索的反驳问题。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潜在宣传内容：由于我们无法评估全文，无法确定作者是否有意或无意地宣传某种特定观点或产品。如果文章存在明显的宣传内容，那么它可能存在偏袒或缺乏平等呈现双方的问题。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总之，根据目前只能看到文章摘要部分的信息，我们无法对其进行详细的批判性分析。然而，上述提到的一些潜在问题需要在阅读完整文章后进一步评估。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 and acute kidney injury
</w:t>
      </w:r>
    </w:p>
    <w:p>
      <w:pPr>
        <w:spacing w:after="0"/>
        <w:numPr>
          <w:ilvl w:val="0"/>
          <w:numId w:val="2"/>
        </w:numPr>
      </w:pPr>
      <w:r>
        <w:rPr/>
        <w:t xml:space="preserve">Dialysis filter lifespan
</w:t>
      </w:r>
    </w:p>
    <w:p>
      <w:pPr>
        <w:spacing w:after="0"/>
        <w:numPr>
          <w:ilvl w:val="0"/>
          <w:numId w:val="2"/>
        </w:numPr>
      </w:pPr>
      <w:r>
        <w:rPr/>
        <w:t xml:space="preserve">Anticoagulation treatment
</w:t>
      </w:r>
    </w:p>
    <w:p>
      <w:pPr>
        <w:spacing w:after="0"/>
        <w:numPr>
          <w:ilvl w:val="0"/>
          <w:numId w:val="2"/>
        </w:numPr>
      </w:pPr>
      <w:r>
        <w:rPr/>
        <w:t xml:space="preserve">Inflammation in COVID-19 patients
</w:t>
      </w:r>
    </w:p>
    <w:p>
      <w:pPr>
        <w:spacing w:after="0"/>
        <w:numPr>
          <w:ilvl w:val="0"/>
          <w:numId w:val="2"/>
        </w:numPr>
      </w:pPr>
      <w:r>
        <w:rPr/>
        <w:t xml:space="preserve">Critique of data presentation
</w:t>
      </w:r>
    </w:p>
    <w:p>
      <w:pPr>
        <w:numPr>
          <w:ilvl w:val="0"/>
          <w:numId w:val="2"/>
        </w:numPr>
      </w:pPr>
      <w:r>
        <w:rPr/>
        <w:t xml:space="preserve">Lack of evidence supporting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https://www.fullpicture.app/item/9157fa81cea4421c5710462b2fb26342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0D7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815528/" TargetMode="External"/><Relationship Id="rId8" Type="http://schemas.openxmlformats.org/officeDocument/2006/relationships/hyperlink" Target="https://www.fullpicture.app/item/9157fa81cea4421c5710462b2fb263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2024-06-02T16:23:57+02:00</dcterms:created>
  <dcterms:modified xsi:type="dcterms:W3CDTF">2024-06-02T16:23:57+02:00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