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Different prognostic impact of recurrent gene mutations in chronic lymphocytic leukemia depending on IGHV gene somatic hypermutation status: a study by ERIC in HARMONY - PMC</w:t>
      </w:r>
      <w:br/>
      <w:hyperlink r:id="rId7" w:history="1">
        <w:r>
          <w:rPr>
            <w:color w:val="2980b9"/>
            <w:u w:val="single"/>
          </w:rPr>
          <w:t xml:space="preserve">https://www.ncbi.nlm.nih.gov/pmc/articles/PMC9898037/</w:t>
        </w:r>
      </w:hyperlink>
    </w:p>
    <w:p>
      <w:pPr>
        <w:pStyle w:val="Heading1"/>
      </w:pPr>
      <w:bookmarkStart w:id="2" w:name="_Toc2"/>
      <w:r>
        <w:t>Article summary:</w:t>
      </w:r>
      <w:bookmarkEnd w:id="2"/>
    </w:p>
    <w:p>
      <w:pPr>
        <w:jc w:val="both"/>
      </w:pPr>
      <w:r>
        <w:rPr/>
        <w:t xml:space="preserve">1. This study assessed the impact of nine recurrently mutated genes (BIRC3, EGR2, MYD88, NFKBIE, NOTCH1, POT1, SF3B1, TP53, and XPO1) in pre-treatment samples from 4580 patients with CLL.</w:t>
      </w:r>
    </w:p>
    <w:p>
      <w:pPr>
        <w:jc w:val="both"/>
      </w:pPr>
      <w:r>
        <w:rPr/>
        <w:t xml:space="preserve">2. Mutations were detected in 1588 (34.7%) patients at frequencies ranging from 2.3–9.8% with mutations in NOTCH1 being the most frequent. </w:t>
      </w:r>
    </w:p>
    <w:p>
      <w:pPr>
        <w:jc w:val="both"/>
      </w:pPr>
      <w:r>
        <w:rPr/>
        <w:t xml:space="preserve">3. In multivariate analysis of Binet stage A patients, performed separately for immunoglobulin heavy variable (IGHV) gene somatic hypermutation (SHM)-mutated and unmutated CLL (U-CLL), a different spectrum of gene alterations independently predicted short time-to-first-treatment (TTFT).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comprehensive study that assesses the prognostic impact of nine recurrently mutated genes in chronic lymphocytic leukemia (CLL). The authors have used time-to-first-treatment as the primary end point to evaluate the impact of these mutations on patient outcomes. The results show that mutations in all genes except MYD88 are associated with a significantly shorter TTFT. Furthermore, when analyzing Binet stage A patients separately for immunoglobulin heavy variable gene somatic hypermutation status, a different spectrum of gene alterations was found to independently predict short TTFT within the two subgroups. </w:t>
      </w:r>
    </w:p>
    <w:p>
      <w:pPr>
        <w:jc w:val="both"/>
      </w:pPr>
      <w:r>
        <w:rPr/>
        <w:t xml:space="preserve">The article is well written and provides an extensive overview of the research conducted by ERIC in HARMONY on CLL prognosis based on recurrent gene mutations and their relation to immunoglobulin heavy variable gene somatic hypermutation status. The authors have provided detailed information about their methods and results which makes it easy to understand their findings and conclusions. Additionally, they have discussed potential implications for stratified management based on their results which adds value to this research paper. </w:t>
      </w:r>
    </w:p>
    <w:p>
      <w:pPr>
        <w:jc w:val="both"/>
      </w:pPr>
      <w:r>
        <w:rPr/>
        <w:t xml:space="preserve">The article does not appear to be biased or one sided as it presents both sides equally and provides evidence for its claims made throughout the paper. It also does not contain any promotional content or partiality towards any particular viewpoint or opinion which makes it reliable and trustworthy source of information regarding CLL prognosis based on recurrent gene mutations and their relation to immunoglobulin heavy variable gene somatic hypermutation status.</w:t>
      </w:r>
    </w:p>
    <w:p>
      <w:pPr>
        <w:pStyle w:val="Heading1"/>
      </w:pPr>
      <w:bookmarkStart w:id="5" w:name="_Toc5"/>
      <w:r>
        <w:t>Topics for further research:</w:t>
      </w:r>
      <w:bookmarkEnd w:id="5"/>
    </w:p>
    <w:p>
      <w:pPr>
        <w:spacing w:after="0"/>
        <w:numPr>
          <w:ilvl w:val="0"/>
          <w:numId w:val="2"/>
        </w:numPr>
      </w:pPr>
      <w:r>
        <w:rPr/>
        <w:t xml:space="preserve">CLL prognosis </w:t>
      </w:r>
    </w:p>
    <w:p>
      <w:pPr>
        <w:spacing w:after="0"/>
        <w:numPr>
          <w:ilvl w:val="0"/>
          <w:numId w:val="2"/>
        </w:numPr>
      </w:pPr>
      <w:r>
        <w:rPr/>
        <w:t xml:space="preserve">Recurrent gene mutations </w:t>
      </w:r>
    </w:p>
    <w:p>
      <w:pPr>
        <w:spacing w:after="0"/>
        <w:numPr>
          <w:ilvl w:val="0"/>
          <w:numId w:val="2"/>
        </w:numPr>
      </w:pPr>
      <w:r>
        <w:rPr/>
        <w:t xml:space="preserve">Immunoglobulin heavy variable gene somatic hypermutation </w:t>
      </w:r>
    </w:p>
    <w:p>
      <w:pPr>
        <w:spacing w:after="0"/>
        <w:numPr>
          <w:ilvl w:val="0"/>
          <w:numId w:val="2"/>
        </w:numPr>
      </w:pPr>
      <w:r>
        <w:rPr/>
        <w:t xml:space="preserve">Time-to-first-treatment </w:t>
      </w:r>
    </w:p>
    <w:p>
      <w:pPr>
        <w:spacing w:after="0"/>
        <w:numPr>
          <w:ilvl w:val="0"/>
          <w:numId w:val="2"/>
        </w:numPr>
      </w:pPr>
      <w:r>
        <w:rPr/>
        <w:t xml:space="preserve">Stratified management of CLL </w:t>
      </w:r>
    </w:p>
    <w:p>
      <w:pPr>
        <w:numPr>
          <w:ilvl w:val="0"/>
          <w:numId w:val="2"/>
        </w:numPr>
      </w:pPr>
      <w:r>
        <w:rPr/>
        <w:t xml:space="preserve">Prognostic impact of gene mutations</w:t>
      </w:r>
    </w:p>
    <w:p>
      <w:pPr>
        <w:pStyle w:val="Heading1"/>
      </w:pPr>
      <w:bookmarkStart w:id="6" w:name="_Toc6"/>
      <w:r>
        <w:t>Report location:</w:t>
      </w:r>
      <w:bookmarkEnd w:id="6"/>
    </w:p>
    <w:p>
      <w:hyperlink r:id="rId8" w:history="1">
        <w:r>
          <w:rPr>
            <w:color w:val="2980b9"/>
            <w:u w:val="single"/>
          </w:rPr>
          <w:t xml:space="preserve">https://www.fullpicture.app/item/91a1b3dfa30c1642f8867e3f08629978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E7F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898037/" TargetMode="External"/><Relationship Id="rId8" Type="http://schemas.openxmlformats.org/officeDocument/2006/relationships/hyperlink" Target="https://www.fullpicture.app/item/91a1b3dfa30c1642f8867e3f086299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2023-03-02T23:16:32+01:00</dcterms:created>
  <dcterms:modified xsi:type="dcterms:W3CDTF">2023-03-02T23:16:32+01:00</dcterms:modified>
</cp:coreProperties>
</file>

<file path=docProps/custom.xml><?xml version="1.0" encoding="utf-8"?>
<Properties xmlns="http://schemas.openxmlformats.org/officeDocument/2006/custom-properties" xmlns:vt="http://schemas.openxmlformats.org/officeDocument/2006/docPropsVTypes"/>
</file>