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complementarities: How entrepreneurs mobilize crowdfunding and local ecosystems - Stephan Manning, Madeleine Rauch, Stanislav Vavilov, 2022</w:t>
      </w:r>
      <w:br/>
      <w:hyperlink r:id="rId7" w:history="1">
        <w:r>
          <w:rPr>
            <w:color w:val="2980b9"/>
            <w:u w:val="single"/>
          </w:rPr>
          <w:t xml:space="preserve">https://journals.sagepub.com/doi/full/10.1177/14761270221094800</w:t>
        </w:r>
      </w:hyperlink>
    </w:p>
    <w:p>
      <w:pPr>
        <w:pStyle w:val="Heading1"/>
      </w:pPr>
      <w:bookmarkStart w:id="2" w:name="_Toc2"/>
      <w:r>
        <w:t>Article summary:</w:t>
      </w:r>
      <w:bookmarkEnd w:id="2"/>
    </w:p>
    <w:p>
      <w:pPr>
        <w:jc w:val="both"/>
      </w:pPr>
      <w:r>
        <w:rPr/>
        <w:t xml:space="preserve">1. This article examines how entrepreneurs use both spatial and digital resource environments to mobilize resources for new ventures.</w:t>
      </w:r>
    </w:p>
    <w:p>
      <w:pPr>
        <w:jc w:val="both"/>
      </w:pPr>
      <w:r>
        <w:rPr/>
        <w:t xml:space="preserve">2. Two strategies of resource mobilization are discussed: the circular strategy, which is mainly applied by social ventures, and the cumulative strategy, which is mainly applied by commercial high-tech ventures.</w:t>
      </w:r>
    </w:p>
    <w:p>
      <w:pPr>
        <w:jc w:val="both"/>
      </w:pPr>
      <w:r>
        <w:rPr/>
        <w:t xml:space="preserve">3. The findings contribute to research on entrepreneurial resource mobilization and understanding of the interplay of spatial and digital affordances.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“Creating complementarities: How entrepreneurs mobilize crowdfunding and local ecosystems” by Stephan Manning, Madeleine Rauch, Stanislav Vavilov (2022) provides an interesting insight into how entrepreneurs can leverage both spatial and digital resource environments to mobilize resources for new ventures. The authors provide two strategies of resource mobilization – the circular strategy and the cumulative strategy – which are based on rich interview, video, and archival data from 44 successful Kickstarter campaigns. </w:t>
      </w:r>
    </w:p>
    <w:p>
      <w:pPr>
        <w:jc w:val="both"/>
      </w:pPr>
      <w:r>
        <w:rPr/>
        <w:t xml:space="preserve">The article is generally well written with clear explanations of the concepts discussed. However, there are some potential biases that should be noted. Firstly, the authors focus solely on Kickstarter as a platform for crowdfunding campaigns without considering other platforms such as Indiegogo or GoFundMe that may have different dynamics in terms of resource mobilization strategies used by entrepreneurs. Secondly, while the authors discuss two strategies of resource mobilization – circular and cumulative – they do not explore any counterarguments or alternative strategies that may exist in this context. Additionally, it would have been beneficial if the authors had provided more evidence to support their claims about how these strategies are used by entrepreneurs in practice. </w:t>
      </w:r>
    </w:p>
    <w:p>
      <w:pPr>
        <w:jc w:val="both"/>
      </w:pPr>
      <w:r>
        <w:rPr/>
        <w:t xml:space="preserve">In conclusion, this article provides an interesting insight into how entrepreneurs can leverage both spatial and digital resource environments to mobilize resources for new ventures but could benefit from further exploration into alternative strategies or counterarguments as well as providing more evidence to support its claims about how these strategies are used in practice.</w:t>
      </w:r>
    </w:p>
    <w:p>
      <w:pPr>
        <w:pStyle w:val="Heading1"/>
      </w:pPr>
      <w:bookmarkStart w:id="5" w:name="_Toc5"/>
      <w:r>
        <w:t>Topics for further research:</w:t>
      </w:r>
      <w:bookmarkEnd w:id="5"/>
    </w:p>
    <w:p>
      <w:pPr>
        <w:spacing w:after="0"/>
        <w:numPr>
          <w:ilvl w:val="0"/>
          <w:numId w:val="2"/>
        </w:numPr>
      </w:pPr>
      <w:r>
        <w:rPr/>
        <w:t xml:space="preserve">Alternative resource mobilization strategies </w:t>
      </w:r>
    </w:p>
    <w:p>
      <w:pPr>
        <w:spacing w:after="0"/>
        <w:numPr>
          <w:ilvl w:val="0"/>
          <w:numId w:val="2"/>
        </w:numPr>
      </w:pPr>
      <w:r>
        <w:rPr/>
        <w:t xml:space="preserve">Crowdfunding platforms other than Kickstarter </w:t>
      </w:r>
    </w:p>
    <w:p>
      <w:pPr>
        <w:spacing w:after="0"/>
        <w:numPr>
          <w:ilvl w:val="0"/>
          <w:numId w:val="2"/>
        </w:numPr>
      </w:pPr>
      <w:r>
        <w:rPr/>
        <w:t xml:space="preserve">Evidence-based resource mobilization strategies </w:t>
      </w:r>
    </w:p>
    <w:p>
      <w:pPr>
        <w:spacing w:after="0"/>
        <w:numPr>
          <w:ilvl w:val="0"/>
          <w:numId w:val="2"/>
        </w:numPr>
      </w:pPr>
      <w:r>
        <w:rPr/>
        <w:t xml:space="preserve">Counterarguments to circular and cumulative strategies </w:t>
      </w:r>
    </w:p>
    <w:p>
      <w:pPr>
        <w:spacing w:after="0"/>
        <w:numPr>
          <w:ilvl w:val="0"/>
          <w:numId w:val="2"/>
        </w:numPr>
      </w:pPr>
      <w:r>
        <w:rPr/>
        <w:t xml:space="preserve">Spatial resource mobilization strategies </w:t>
      </w:r>
    </w:p>
    <w:p>
      <w:pPr>
        <w:numPr>
          <w:ilvl w:val="0"/>
          <w:numId w:val="2"/>
        </w:numPr>
      </w:pPr>
      <w:r>
        <w:rPr/>
        <w:t xml:space="preserve">Digital resource mobilization strategies</w:t>
      </w:r>
    </w:p>
    <w:p>
      <w:pPr>
        <w:pStyle w:val="Heading1"/>
      </w:pPr>
      <w:bookmarkStart w:id="6" w:name="_Toc6"/>
      <w:r>
        <w:t>Report location:</w:t>
      </w:r>
      <w:bookmarkEnd w:id="6"/>
    </w:p>
    <w:p>
      <w:hyperlink r:id="rId8" w:history="1">
        <w:r>
          <w:rPr>
            <w:color w:val="2980b9"/>
            <w:u w:val="single"/>
          </w:rPr>
          <w:t xml:space="preserve">https://www.fullpicture.app/item/92648387eda3d8c434597bc635883f1f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D4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4761270221094800" TargetMode="External"/><Relationship Id="rId8" Type="http://schemas.openxmlformats.org/officeDocument/2006/relationships/hyperlink" Target="https://www.fullpicture.app/item/92648387eda3d8c434597bc635883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2023-02-23T03:46:58+01:00</dcterms:created>
  <dcterms:modified xsi:type="dcterms:W3CDTF">2023-02-23T03:46:58+01:00</dcterms:modified>
</cp:coreProperties>
</file>

<file path=docProps/custom.xml><?xml version="1.0" encoding="utf-8"?>
<Properties xmlns="http://schemas.openxmlformats.org/officeDocument/2006/custom-properties" xmlns:vt="http://schemas.openxmlformats.org/officeDocument/2006/docPropsVTypes"/>
</file>