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prescriber’s guide to classic MAO inhibitors (phenelzine, tranylcypromine, isocarboxazid) for treatment-resistant depression | CNS Spectrums | Cambridge Core</w:t>
      </w:r>
      <w:br/>
      <w:hyperlink r:id="rId7" w:history="1">
        <w:r>
          <w:rPr>
            <w:color w:val="2980b9"/>
            <w:u w:val="single"/>
          </w:rPr>
          <w:t xml:space="preserve">https://www.cambridge.org/core/journals/cns-spectrums/article/prescribers-guide-to-classic-mao-inhibitors-phenelzine-tranylcypromine-isocarboxazid-for-treatmentresistant-depression/29C70FD3DA65E23A024D5E05C4369983</w:t>
        </w:r>
      </w:hyperlink>
    </w:p>
    <w:p>
      <w:pPr>
        <w:pStyle w:val="Heading1"/>
      </w:pPr>
      <w:bookmarkStart w:id="2" w:name="_Toc2"/>
      <w:r>
        <w:t>Article summary:</w:t>
      </w:r>
      <w:bookmarkEnd w:id="2"/>
    </w:p>
    <w:p>
      <w:pPr>
        <w:jc w:val="both"/>
      </w:pPr>
      <w:r>
        <w:rPr/>
        <w:t xml:space="preserve">1. This guide is a blend of empirical evidence and expert opinion, aiming to provide an overview of classic MAO inhibitors (phenelzine, tranylcypromine, isocarboxazid) for treatment-resistant depression.</w:t>
      </w:r>
    </w:p>
    <w:p>
      <w:pPr>
        <w:jc w:val="both"/>
      </w:pPr>
      <w:r>
        <w:rPr/>
        <w:t xml:space="preserve">2. The authors have made efforts to ensure the content is balanced and objective, but further research is needed in order to improve the accuracy of the guide.</w:t>
      </w:r>
    </w:p>
    <w:p>
      <w:pPr>
        <w:jc w:val="both"/>
      </w:pPr>
      <w:r>
        <w:rPr/>
        <w:t xml:space="preserve">3. The authors have disclosed any potential conflicts of interest they may have had in writing this guide.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Prescriber’s Guide to Classic MAO Inhibitors (Phenelzine, Tranylcypromine, Isocarboxazid) for Treatment-Resistant Depression” provides an overview of classic MAO inhibitors for treatment-resistant depression. The authors make an effort to present a balanced view by including both empirical evidence and expert opinion. They also disclose any potential conflicts of interest that they may have had in writing this guide. </w:t>
      </w:r>
    </w:p>
    <w:p>
      <w:pPr>
        <w:jc w:val="both"/>
      </w:pPr>
      <w:r>
        <w:rPr/>
        <w:t xml:space="preserve">However, there are some areas where the article could be improved upon in terms of trustworthiness and reliability. For example, while the authors do discuss potential side effects and contraindications associated with these medications, they do not provide detailed information on how to manage or prevent them. Additionally, while the authors note that their enumerations and lists of co-medications are not exhaustive, they do not provide any guidance on how to identify other medications that may interact with these drugs or what precautions should be taken when prescribing them together. Furthermore, while the authors state that further research is needed in order to improve the accuracy of the guide, they do not provide any specific recommendations on what type of research should be conducted or how it should be conducted. </w:t>
      </w:r>
    </w:p>
    <w:p>
      <w:pPr>
        <w:jc w:val="both"/>
      </w:pPr>
      <w:r>
        <w:rPr/>
        <w:t xml:space="preserve">In addition, there are some areas where the article could be seen as biased or one-sided in its reporting. For example, while the authors discuss potential benefits associated with these medications, they do not discuss any potential risks or drawbacks associated with their use. Additionally, while the authors note that contentious topics were omitted from their discussion due to their divisive nature, it is unclear whether this omission was done out of necessity or if it was done intentionally in order to avoid presenting both sides equally. </w:t>
      </w:r>
    </w:p>
    <w:p>
      <w:pPr>
        <w:jc w:val="both"/>
      </w:pPr>
      <w:r>
        <w:rPr/>
        <w:t xml:space="preserve">Finally, there are some areas where promotional content could be seen as influencing the article’s trustworthiness and reliability. For example, several members of the author team receive consulting fees from NeuraWell Therapeutics which could potentially influence their views on these medications and lead them to present a more favorable view than would otherwise be presented without such influence. Additionally, one member has patents pending related to treatments for depression which could potentially lead him to present a more favorable view than would otherwise be presented without such influence. </w:t>
      </w:r>
    </w:p>
    <w:p>
      <w:pPr>
        <w:jc w:val="both"/>
      </w:pPr>
      <w:r>
        <w:rPr/>
        <w:t xml:space="preserve">In conclusion, while this article does make an effort to present a balanced view by including both empirical evidence and expert opinion as well as disclosing any potential conflicts of interest that its authors may have had in writing it; there are still some areas where its trustworthiness and reliability can be improved upon such as providing more detailed information on managing side effects/contraindications as well as providing guidance on identifying other medications that may interact with these drugs or what precautions should be taken when prescribing them together; discussing potential risks/drawbacks associated with their use; avoiding omitting contentious topics due to their divisive nature; avoiding promotional content; and avoiding presenting only one side equally when discussing contentious topics</w:t>
      </w:r>
    </w:p>
    <w:p>
      <w:pPr>
        <w:pStyle w:val="Heading1"/>
      </w:pPr>
      <w:bookmarkStart w:id="5" w:name="_Toc5"/>
      <w:r>
        <w:t>Topics for further research:</w:t>
      </w:r>
      <w:bookmarkEnd w:id="5"/>
    </w:p>
    <w:p>
      <w:pPr>
        <w:spacing w:after="0"/>
        <w:numPr>
          <w:ilvl w:val="0"/>
          <w:numId w:val="2"/>
        </w:numPr>
      </w:pPr>
      <w:r>
        <w:rPr/>
        <w:t xml:space="preserve">Managing side effects of MAO inhibitors</w:t>
      </w:r>
    </w:p>
    <w:p>
      <w:pPr>
        <w:spacing w:after="0"/>
        <w:numPr>
          <w:ilvl w:val="0"/>
          <w:numId w:val="2"/>
        </w:numPr>
      </w:pPr>
      <w:r>
        <w:rPr/>
        <w:t xml:space="preserve">Interactions between MAO inhibitors and other medications</w:t>
      </w:r>
    </w:p>
    <w:p>
      <w:pPr>
        <w:spacing w:after="0"/>
        <w:numPr>
          <w:ilvl w:val="0"/>
          <w:numId w:val="2"/>
        </w:numPr>
      </w:pPr>
      <w:r>
        <w:rPr/>
        <w:t xml:space="preserve">Risks associated with MAO inhibitors</w:t>
      </w:r>
    </w:p>
    <w:p>
      <w:pPr>
        <w:spacing w:after="0"/>
        <w:numPr>
          <w:ilvl w:val="0"/>
          <w:numId w:val="2"/>
        </w:numPr>
      </w:pPr>
      <w:r>
        <w:rPr/>
        <w:t xml:space="preserve">Drawbacks of MAO inhibitors</w:t>
      </w:r>
    </w:p>
    <w:p>
      <w:pPr>
        <w:spacing w:after="0"/>
        <w:numPr>
          <w:ilvl w:val="0"/>
          <w:numId w:val="2"/>
        </w:numPr>
      </w:pPr>
      <w:r>
        <w:rPr/>
        <w:t xml:space="preserve">Controversial topics in MAO inhibitor treatment</w:t>
      </w:r>
    </w:p>
    <w:p>
      <w:pPr>
        <w:numPr>
          <w:ilvl w:val="0"/>
          <w:numId w:val="2"/>
        </w:numPr>
      </w:pPr>
      <w:r>
        <w:rPr/>
        <w:t xml:space="preserve">Avoiding promotional content in MAO inhibitor research</w:t>
      </w:r>
    </w:p>
    <w:p>
      <w:pPr>
        <w:pStyle w:val="Heading1"/>
      </w:pPr>
      <w:bookmarkStart w:id="6" w:name="_Toc6"/>
      <w:r>
        <w:t>Report location:</w:t>
      </w:r>
      <w:bookmarkEnd w:id="6"/>
    </w:p>
    <w:p>
      <w:hyperlink r:id="rId8" w:history="1">
        <w:r>
          <w:rPr>
            <w:color w:val="2980b9"/>
            <w:u w:val="single"/>
          </w:rPr>
          <w:t xml:space="preserve">https://www.fullpicture.app/item/92cb4403b3279f73e486d506e7d513b0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F1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cns-spectrums/article/prescribers-guide-to-classic-mao-inhibitors-phenelzine-tranylcypromine-isocarboxazid-for-treatmentresistant-depression/29C70FD3DA65E23A024D5E05C4369983" TargetMode="External"/><Relationship Id="rId8" Type="http://schemas.openxmlformats.org/officeDocument/2006/relationships/hyperlink" Target="https://www.fullpicture.app/item/92cb4403b3279f73e486d506e7d513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2023-02-21T20:48:23+01:00</dcterms:created>
  <dcterms:modified xsi:type="dcterms:W3CDTF">2023-02-21T20:48:23+01:00</dcterms:modified>
</cp:coreProperties>
</file>

<file path=docProps/custom.xml><?xml version="1.0" encoding="utf-8"?>
<Properties xmlns="http://schemas.openxmlformats.org/officeDocument/2006/custom-properties" xmlns:vt="http://schemas.openxmlformats.org/officeDocument/2006/docPropsVTypes"/>
</file>