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Eric A. Feldman 和 Chai Yue 的“中国电子烟监管：未来之路”</w:t>
      </w:r>
      <w:br/>
      <w:hyperlink r:id="rId7" w:history="1">
        <w:r>
          <w:rPr>
            <w:color w:val="2980b9"/>
            <w:u w:val="single"/>
          </w:rPr>
          <w:t xml:space="preserve">https://scholarship.law.upenn.edu/faculty_scholarship/1704/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中国是全球电子烟消费的主要市场之一，但对电子烟的监管仍不明确。</w:t>
      </w:r>
    </w:p>
    <w:p>
      <w:pPr>
        <w:jc w:val="both"/>
      </w:pPr>
      <w:r>
        <w:rPr/>
        <w:t xml:space="preserve">2. 监管机构需要采取行动来规范电子烟公司的健康声明和制造过程，并加强针对可燃卷烟的控制措施以解决电子烟使用增加的问题。</w:t>
      </w:r>
    </w:p>
    <w:p>
      <w:pPr>
        <w:jc w:val="both"/>
      </w:pPr>
      <w:r>
        <w:rPr/>
        <w:t xml:space="preserve">3. 应优先规范对青年的销售，并考虑将电子烟视为烟草产品或药品进行监管。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该文章提出了一个重要问题——中国政府应该如何监管电子烟，但是在分析中存在一些偏见和不足之处。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探讨电子烟的潜在风险和危害。虽然电子烟被认为比传统香烟更安全，但仍存在一些健康风险，例如呼吸系统问题和成瘾性。此外，电子烟的使用也可能导致青少年吸烟率上升。因此，在讨论如何监管电子烟时，应该考虑到这些潜在的风险和危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其次，文章没有涉及到消费者保护方面的问题。由于电子烟市场相对较新，并且缺乏明确的监管规定，消费者可能会受到欺诈或误导。因此，在制定监管政策时，应该考虑到消费者保护方面的问题。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第三，文章没有充分探讨与电子烟相关的税收问题。由于电子烟市场增长迅速，并且销售额巨大，税收收入可能成为一个重要的议题。因此，在制定监管政策时，应该考虑到税收方面的问题。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最后，文章没有平等地呈现双方的观点。虽然文章提到了美国和日本的电子烟监管政策，但是并没有探讨其他国家的做法或者反对电子烟监管的观点。因此，在分析中存在一定的偏袒。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综上所述，该文章提出了一个重要问题，但在分析中存在一些偏见和不足之处。在制定电子烟监管政策时，应该充分考虑潜在风险和危害、消费者保护、税收等方面的问题，并平等地呈现各方观点。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harms of e-cigarettes
</w:t>
      </w:r>
    </w:p>
    <w:p>
      <w:pPr>
        <w:spacing w:after="0"/>
        <w:numPr>
          <w:ilvl w:val="0"/>
          <w:numId w:val="2"/>
        </w:numPr>
      </w:pPr>
      <w:r>
        <w:rPr/>
        <w:t xml:space="preserve">Consumer protection issues in e-cigarette regulation
</w:t>
      </w:r>
    </w:p>
    <w:p>
      <w:pPr>
        <w:spacing w:after="0"/>
        <w:numPr>
          <w:ilvl w:val="0"/>
          <w:numId w:val="2"/>
        </w:numPr>
      </w:pPr>
      <w:r>
        <w:rPr/>
        <w:t xml:space="preserve">Taxation related to e-cigarettes
</w:t>
      </w:r>
    </w:p>
    <w:p>
      <w:pPr>
        <w:spacing w:after="0"/>
        <w:numPr>
          <w:ilvl w:val="0"/>
          <w:numId w:val="2"/>
        </w:numPr>
      </w:pPr>
      <w:r>
        <w:rPr/>
        <w:t xml:space="preserve">International perspectives on e-cigarette regulation
</w:t>
      </w:r>
    </w:p>
    <w:p>
      <w:pPr>
        <w:spacing w:after="0"/>
        <w:numPr>
          <w:ilvl w:val="0"/>
          <w:numId w:val="2"/>
        </w:numPr>
      </w:pPr>
      <w:r>
        <w:rPr/>
        <w:t xml:space="preserve">Opposition to e-cigarette regulation
</w:t>
      </w:r>
    </w:p>
    <w:p>
      <w:pPr>
        <w:numPr>
          <w:ilvl w:val="0"/>
          <w:numId w:val="2"/>
        </w:numPr>
      </w:pPr>
      <w:r>
        <w:rPr/>
        <w:t xml:space="preserve">Balanced analysis of e-cigarette regulation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https://www.fullpicture.app/item/930f7464c27a3f4590079c49ccccb7fe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920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ship.law.upenn.edu/faculty_scholarship/1704/" TargetMode="External"/><Relationship Id="rId8" Type="http://schemas.openxmlformats.org/officeDocument/2006/relationships/hyperlink" Target="https://www.fullpicture.app/item/930f7464c27a3f4590079c49ccccb7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2024-01-14T02:03:47+01:00</dcterms:created>
  <dcterms:modified xsi:type="dcterms:W3CDTF">2024-01-14T02:03:47+01:00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