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diagnostic and prognostic capabilities of plasma biomarkers in Alzheimer's disease - PubMed</w:t>
      </w:r>
      <w:br/>
      <w:hyperlink r:id="rId7" w:history="1">
        <w:r>
          <w:rPr>
            <w:color w:val="2980b9"/>
            <w:u w:val="single"/>
          </w:rPr>
          <w:t xml:space="preserve">https://pubmed.ncbi.nlm.nih.gov/33491853/</w:t>
        </w:r>
      </w:hyperlink>
    </w:p>
    <w:p>
      <w:pPr>
        <w:pStyle w:val="Heading1"/>
      </w:pPr>
      <w:bookmarkStart w:id="2" w:name="_Toc2"/>
      <w:r>
        <w:t>Article summary:</w:t>
      </w:r>
      <w:bookmarkEnd w:id="2"/>
    </w:p>
    <w:p>
      <w:pPr>
        <w:jc w:val="both"/>
      </w:pPr>
      <w:r>
        <w:rPr/>
        <w:t xml:space="preserve">1. 本文探讨了血浆生物标志物在阿尔茨海默病诊断和预后中的能力。</w:t>
      </w:r>
    </w:p>
    <w:p>
      <w:pPr>
        <w:jc w:val="both"/>
      </w:pPr>
      <w:r>
        <w:rPr/>
        <w:t xml:space="preserve">2. 文章分析了血浆生物标志物的可用性，以及它们如何与其他诊断工具相结合，以提供有效的诊断和预后信息。</w:t>
      </w:r>
    </w:p>
    <w:p>
      <w:pPr>
        <w:jc w:val="both"/>
      </w:pPr>
      <w:r>
        <w:rPr/>
        <w:t xml:space="preserve">3. 本文还讨论了血浆生物标志物在早期诊断、疾病进展监测和临床决策中的作用。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本文是一篇关于血浆生物标志物在阿尔茨海默病诊断和预后中的能力的研究报告。作者通过对多个不同来源的数据进行分析，得出了一些有意义的结论。</w:t>
      </w:r>
    </w:p>
    <w:p>
      <w:pPr>
        <w:jc w:val="both"/>
      </w:pPr>
      <w:r>
        <w:rPr/>
        <w:t xml:space="preserve">然而，本文存在一些可能存在的偏见或不客观性。例如，作者并没有考虑到使用血浆生物标志物可能会带来的风险（例如出现不准确或不准备好的诊断）。此外，作者也未考虑到使用血浆生物标志物可能会降低医生对患者情况的理解水平。</w:t>
      </w:r>
    </w:p>
    <w:p>
      <w:pPr>
        <w:jc w:val="both"/>
      </w:pPr>
      <w:r>
        <w:rPr/>
        <w:t xml:space="preserve">此外，作者也未考虑到使用血浆生物标志物可能会影响医生对患者情况的判断水平。此外，作者也未考虑到使用血浆生物标志物可能会影响医生对患者情况的理解水平。此外，作者也未考虑到使用血浆生物标志物可能会影响医保成本、医保要求、以及其他因素对医保要求方式所带来的影响。</w:t>
      </w:r>
    </w:p>
    <w:p>
      <w:pPr>
        <w:jc w:val="both"/>
      </w:pPr>
      <w:r>
        <w:rPr/>
        <w:t xml:space="preserve">因此，尽管本文是一个重要且具有意义的工作，但是它存在一定数量上述问题所带来的问题。因此，在重要决定之前应当进一步加强对上述问题所带来影响方式、风险、代价、效益方式以及其他因素方式上进行评估工作</w:t>
      </w:r>
    </w:p>
    <w:p>
      <w:pPr>
        <w:pStyle w:val="Heading1"/>
      </w:pPr>
      <w:bookmarkStart w:id="5" w:name="_Toc5"/>
      <w:r>
        <w:t>Topics for further research:</w:t>
      </w:r>
      <w:bookmarkEnd w:id="5"/>
    </w:p>
    <w:p>
      <w:pPr>
        <w:spacing w:after="0"/>
        <w:numPr>
          <w:ilvl w:val="0"/>
          <w:numId w:val="2"/>
        </w:numPr>
      </w:pPr>
      <w:r>
        <w:rPr/>
        <w:t xml:space="preserve">血浆生物标志物的风险；</w:t>
      </w:r>
    </w:p>
    <w:p>
      <w:pPr>
        <w:spacing w:after="0"/>
        <w:numPr>
          <w:ilvl w:val="0"/>
          <w:numId w:val="2"/>
        </w:numPr>
      </w:pPr>
      <w:r>
        <w:rPr/>
        <w:t xml:space="preserve">血浆生物标志物对医生判断水平的影响；</w:t>
      </w:r>
    </w:p>
    <w:p>
      <w:pPr>
        <w:spacing w:after="0"/>
        <w:numPr>
          <w:ilvl w:val="0"/>
          <w:numId w:val="2"/>
        </w:numPr>
      </w:pPr>
      <w:r>
        <w:rPr/>
        <w:t xml:space="preserve">血浆生物标志物对医生理解水平的影响；</w:t>
      </w:r>
    </w:p>
    <w:p>
      <w:pPr>
        <w:spacing w:after="0"/>
        <w:numPr>
          <w:ilvl w:val="0"/>
          <w:numId w:val="2"/>
        </w:numPr>
      </w:pPr>
      <w:r>
        <w:rPr/>
        <w:t xml:space="preserve">血浆生物标志物对医保成本的影响；</w:t>
      </w:r>
    </w:p>
    <w:p>
      <w:pPr>
        <w:spacing w:after="0"/>
        <w:numPr>
          <w:ilvl w:val="0"/>
          <w:numId w:val="2"/>
        </w:numPr>
      </w:pPr>
      <w:r>
        <w:rPr/>
        <w:t xml:space="preserve">血浆生物标志物对医保要求的影响；</w:t>
      </w:r>
    </w:p>
    <w:p>
      <w:pPr>
        <w:numPr>
          <w:ilvl w:val="0"/>
          <w:numId w:val="2"/>
        </w:numPr>
      </w:pPr>
      <w:r>
        <w:rPr/>
        <w:t xml:space="preserve">血浆生物标志物对其他因素的影响。</w:t>
      </w:r>
    </w:p>
    <w:p>
      <w:pPr>
        <w:pStyle w:val="Heading1"/>
      </w:pPr>
      <w:bookmarkStart w:id="6" w:name="_Toc6"/>
      <w:r>
        <w:t>Report location:</w:t>
      </w:r>
      <w:bookmarkEnd w:id="6"/>
    </w:p>
    <w:p>
      <w:hyperlink r:id="rId8" w:history="1">
        <w:r>
          <w:rPr>
            <w:color w:val="2980b9"/>
            <w:u w:val="single"/>
          </w:rPr>
          <w:t xml:space="preserve">https://www.fullpicture.app/item/93c83532a9baf1db15b6fbb8e858dbe5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3B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91853/" TargetMode="External"/><Relationship Id="rId8" Type="http://schemas.openxmlformats.org/officeDocument/2006/relationships/hyperlink" Target="https://www.fullpicture.app/item/93c83532a9baf1db15b6fbb8e858db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2023-02-28T17:43:55+01:00</dcterms:created>
  <dcterms:modified xsi:type="dcterms:W3CDTF">2023-02-28T17:43:55+01:00</dcterms:modified>
</cp:coreProperties>
</file>

<file path=docProps/custom.xml><?xml version="1.0" encoding="utf-8"?>
<Properties xmlns="http://schemas.openxmlformats.org/officeDocument/2006/custom-properties" xmlns:vt="http://schemas.openxmlformats.org/officeDocument/2006/docPropsVTypes"/>
</file>