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Reduced sensitivity of SARS-CoV-2 variant Delta to antibody neutralization | Nature</w:t>
      </w:r>
      <w:br/>
      <w:hyperlink r:id="rId7" w:history="1">
        <w:r>
          <w:rPr>
            <w:color w:val="2980b9"/>
            <w:u w:val="single"/>
          </w:rPr>
          <w:t xml:space="preserve">https://www.nature.com/articles/s41586-021-03777-9</w:t>
        </w:r>
      </w:hyperlink>
    </w:p>
    <w:p>
      <w:pPr>
        <w:pStyle w:val="Heading1"/>
      </w:pPr>
      <w:bookmarkStart w:id="2" w:name="_Toc2"/>
      <w:r>
        <w:t>Article summary:</w:t>
      </w:r>
      <w:bookmarkEnd w:id="2"/>
    </w:p>
    <w:p>
      <w:pPr>
        <w:jc w:val="both"/>
      </w:pPr>
      <w:r>
        <w:rPr/>
        <w:t xml:space="preserve">1. The SARS-CoV-2 Delta variant (B.1.617.2) has been identified in many countries and is believed to be more transmissible than the Alpha variant (B.1.1.7).</w:t>
      </w:r>
    </w:p>
    <w:p>
      <w:pPr>
        <w:jc w:val="both"/>
      </w:pPr>
      <w:r>
        <w:rPr/>
        <w:t xml:space="preserve">2. The Delta variant contains eight mutations in the N-terminal domain (NTD) and the receptor-binding domain (RBD) of the SARS-CoV-2 spike protein, which may increase its immune evasion potential.</w:t>
      </w:r>
    </w:p>
    <w:p>
      <w:pPr>
        <w:jc w:val="both"/>
      </w:pPr>
      <w:r>
        <w:rPr/>
        <w:t xml:space="preserve">3. The Delta variant was found to be resistant to neutralization by some anti-NTD and anti-RBD monoclonal antibodies, including bamlanivimab, and sera from convalescent individuals up to 12 months after the onset of symptoms were fourfold less potent against the Delta variant relative to the Alpha variant.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analysis of the SARS-CoV-2 Delta variant (B.1.617.2), which has been identified in many countries and is believed to be more transmissible than other variants such as the Alpha variant (B.1.1.7). The article examines the sensitivity of this strain to monoclonal antibodies and sera from individuals who had recovered from COVID-19 or who had received a COVID-19 vaccine, and then compares this strain with other strains of SARS-CoV-2.</w:t>
      </w:r>
    </w:p>
    <w:p>
      <w:pPr>
        <w:jc w:val="both"/>
      </w:pPr>
      <w:r>
        <w:rPr/>
        <w:t xml:space="preserve">The article is well written and provides a comprehensive overview of the research conducted on this topic, including an analysis of mutations in the NTD and RBD regions of the spike protein that may increase its immune evasion potential, as well as an examination of its sensitivity to monoclonal antibodies and sera from convalescent individuals or those who have received a vaccine against COVID-19.</w:t>
      </w:r>
    </w:p>
    <w:p>
      <w:pPr>
        <w:jc w:val="both"/>
      </w:pPr>
      <w:r>
        <w:rPr/>
        <w:t xml:space="preserve">The article does not appear to contain any bias or unsupported claims, nor does it present any missing points of consideration or evidence for its claims made; however, it does not explore any counterarguments or present both sides equally when discussing possible risks associated with this particular strain of virus, which could be seen as a limitation in terms of providing a balanced view on this topic. Additionally, there is no promotional content included in this article that could be seen as influencing readers’ opinions on this topic; however, it should also be noted that there are no dissenting views presented either that could provide an alternative perspective on this issue for readers to consider when forming</w:t>
      </w:r>
    </w:p>
    <w:p>
      <w:pPr>
        <w:pStyle w:val="Heading1"/>
      </w:pPr>
      <w:bookmarkStart w:id="5" w:name="_Toc5"/>
      <w:r>
        <w:t>Topics for further research:</w:t>
      </w:r>
      <w:bookmarkEnd w:id="5"/>
    </w:p>
    <w:p>
      <w:pPr>
        <w:spacing w:after="0"/>
        <w:numPr>
          <w:ilvl w:val="0"/>
          <w:numId w:val="2"/>
        </w:numPr>
      </w:pPr>
      <w:r>
        <w:rPr/>
        <w:t xml:space="preserve">SARS-CoV-2 Delta variant transmission</w:t>
      </w:r>
    </w:p>
    <w:p>
      <w:pPr>
        <w:spacing w:after="0"/>
        <w:numPr>
          <w:ilvl w:val="0"/>
          <w:numId w:val="2"/>
        </w:numPr>
      </w:pPr>
      <w:r>
        <w:rPr/>
        <w:t xml:space="preserve">SARS-CoV-2 Delta variant mutations</w:t>
      </w:r>
    </w:p>
    <w:p>
      <w:pPr>
        <w:spacing w:after="0"/>
        <w:numPr>
          <w:ilvl w:val="0"/>
          <w:numId w:val="2"/>
        </w:numPr>
      </w:pPr>
      <w:r>
        <w:rPr/>
        <w:t xml:space="preserve">SARS-CoV-2 Delta variant vaccine efficacy</w:t>
      </w:r>
    </w:p>
    <w:p>
      <w:pPr>
        <w:spacing w:after="0"/>
        <w:numPr>
          <w:ilvl w:val="0"/>
          <w:numId w:val="2"/>
        </w:numPr>
      </w:pPr>
      <w:r>
        <w:rPr/>
        <w:t xml:space="preserve">SARS-CoV-2 Delta variant monoclonal antibody resistance</w:t>
      </w:r>
    </w:p>
    <w:p>
      <w:pPr>
        <w:spacing w:after="0"/>
        <w:numPr>
          <w:ilvl w:val="0"/>
          <w:numId w:val="2"/>
        </w:numPr>
      </w:pPr>
      <w:r>
        <w:rPr/>
        <w:t xml:space="preserve">SARS-CoV-2 Delta variant risk assessment</w:t>
      </w:r>
    </w:p>
    <w:p>
      <w:pPr>
        <w:numPr>
          <w:ilvl w:val="0"/>
          <w:numId w:val="2"/>
        </w:numPr>
      </w:pPr>
      <w:r>
        <w:rPr/>
        <w:t xml:space="preserve">SARS-CoV-2 Delta variant counterarguments</w:t>
      </w:r>
    </w:p>
    <w:p>
      <w:pPr>
        <w:pStyle w:val="Heading1"/>
      </w:pPr>
      <w:bookmarkStart w:id="6" w:name="_Toc6"/>
      <w:r>
        <w:t>Report location:</w:t>
      </w:r>
      <w:bookmarkEnd w:id="6"/>
    </w:p>
    <w:p>
      <w:hyperlink r:id="rId8" w:history="1">
        <w:r>
          <w:rPr>
            <w:color w:val="2980b9"/>
            <w:u w:val="single"/>
          </w:rPr>
          <w:t xml:space="preserve">https://www.fullpicture.app/item/94b5150261eb4dda7e6003405de5e4fd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968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1-03777-9" TargetMode="External"/><Relationship Id="rId8" Type="http://schemas.openxmlformats.org/officeDocument/2006/relationships/hyperlink" Target="https://www.fullpicture.app/item/94b5150261eb4dda7e6003405de5e4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2023-03-05T17:16:42+01:00</dcterms:created>
  <dcterms:modified xsi:type="dcterms:W3CDTF">2023-03-05T17:16:42+01:00</dcterms:modified>
</cp:coreProperties>
</file>

<file path=docProps/custom.xml><?xml version="1.0" encoding="utf-8"?>
<Properties xmlns="http://schemas.openxmlformats.org/officeDocument/2006/custom-properties" xmlns:vt="http://schemas.openxmlformats.org/officeDocument/2006/docPropsVTypes"/>
</file>