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Faith (Stanford Encyclopedia of Philosophy)</w:t>
      </w:r>
      <w:br/>
      <w:hyperlink r:id="rId7" w:history="1">
        <w:r>
          <w:rPr>
            <w:color w:val="2980b9"/>
            <w:u w:val="single"/>
          </w:rPr>
          <w:t xml:space="preserve">https://plato.stanford.edu/entries/faith/?fbclid=IwAR0i_FM3hHMcJoGTNSFOuYdyZlfZ3ZYJ9rN9u0_fbRNFRX2h1n2NvTVLuUk</w:t>
        </w:r>
      </w:hyperlink>
    </w:p>
    <w:p>
      <w:pPr>
        <w:pStyle w:val="Heading1"/>
      </w:pPr>
      <w:bookmarkStart w:id="2" w:name="_Toc2"/>
      <w:r>
        <w:t>Article summary:</w:t>
      </w:r>
      <w:bookmarkEnd w:id="2"/>
    </w:p>
    <w:p>
      <w:pPr>
        <w:jc w:val="both"/>
      </w:pPr>
      <w:r>
        <w:rPr/>
        <w:t xml:space="preserve">1. This article discusses different models of faith and their key components, focusing on religious faith as found in the Abrahamic, theist, religious traditions.</w:t>
      </w:r>
    </w:p>
    <w:p>
      <w:pPr>
        <w:jc w:val="both"/>
      </w:pPr>
      <w:r>
        <w:rPr/>
        <w:t xml:space="preserve">2. It identifies three broad categories of components of faith: the affective, cognitive, and practical.</w:t>
      </w:r>
    </w:p>
    <w:p>
      <w:pPr>
        <w:jc w:val="both"/>
      </w:pPr>
      <w:r>
        <w:rPr/>
        <w:t xml:space="preserve">3. It argues that an adequate model of this kind of faith cannot reduce to something purely affective and must have some intentional object.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different models of faith and their key components. The author provides a clear overview of the various models and components, while also noting potential tensions between them. The author also acknowledges that “religion” itself may be a “family resemblance” universal, which suggests that essentialism about faith may be misplaced. Furthermore, the author provides evidence for his claims by citing relevant sources such as Audi 2011 (Chapter 3, Section 1) and Howard-Snyder (2013b). </w:t>
      </w:r>
    </w:p>
    <w:p>
      <w:pPr>
        <w:jc w:val="both"/>
      </w:pPr>
      <w:r>
        <w:rPr/>
        <w:t xml:space="preserve">The article does not appear to be biased or one-sided in its reporting; rather it presents a balanced view on the topic by discussing both sides equally. Additionally, there are no unsupported claims or missing points of consideration in the article; all claims are supported with evidence from relevant sources. There is also no promotional content or partiality present in the article; it is written objectively without any bias towards any particular viewpoint or opinion. Finally, possible risks associated with certain models are noted throughout the article, providing readers with a comprehensive understanding of each model's strengths and weaknesses.</w:t>
      </w:r>
    </w:p>
    <w:p>
      <w:pPr>
        <w:pStyle w:val="Heading1"/>
      </w:pPr>
      <w:bookmarkStart w:id="5" w:name="_Toc5"/>
      <w:r>
        <w:t>Topics for further research:</w:t>
      </w:r>
      <w:bookmarkEnd w:id="5"/>
    </w:p>
    <w:p>
      <w:pPr>
        <w:spacing w:after="0"/>
        <w:numPr>
          <w:ilvl w:val="0"/>
          <w:numId w:val="2"/>
        </w:numPr>
      </w:pPr>
      <w:r>
        <w:rPr/>
        <w:t xml:space="preserve">Faith and Reason </w:t>
      </w:r>
    </w:p>
    <w:p>
      <w:pPr>
        <w:spacing w:after="0"/>
        <w:numPr>
          <w:ilvl w:val="0"/>
          <w:numId w:val="2"/>
        </w:numPr>
      </w:pPr>
      <w:r>
        <w:rPr/>
        <w:t xml:space="preserve">Religious Pluralism </w:t>
      </w:r>
    </w:p>
    <w:p>
      <w:pPr>
        <w:spacing w:after="0"/>
        <w:numPr>
          <w:ilvl w:val="0"/>
          <w:numId w:val="2"/>
        </w:numPr>
      </w:pPr>
      <w:r>
        <w:rPr/>
        <w:t xml:space="preserve">Religious Exclusivism </w:t>
      </w:r>
    </w:p>
    <w:p>
      <w:pPr>
        <w:spacing w:after="0"/>
        <w:numPr>
          <w:ilvl w:val="0"/>
          <w:numId w:val="2"/>
        </w:numPr>
      </w:pPr>
      <w:r>
        <w:rPr/>
        <w:t xml:space="preserve">Religious Inclusivism </w:t>
      </w:r>
    </w:p>
    <w:p>
      <w:pPr>
        <w:spacing w:after="0"/>
        <w:numPr>
          <w:ilvl w:val="0"/>
          <w:numId w:val="2"/>
        </w:numPr>
      </w:pPr>
      <w:r>
        <w:rPr/>
        <w:t xml:space="preserve">Religious Syncretism </w:t>
      </w:r>
    </w:p>
    <w:p>
      <w:pPr>
        <w:numPr>
          <w:ilvl w:val="0"/>
          <w:numId w:val="2"/>
        </w:numPr>
      </w:pPr>
      <w:r>
        <w:rPr/>
        <w:t xml:space="preserve">Religious Fundamentalism</w:t>
      </w:r>
    </w:p>
    <w:p>
      <w:pPr>
        <w:pStyle w:val="Heading1"/>
      </w:pPr>
      <w:bookmarkStart w:id="6" w:name="_Toc6"/>
      <w:r>
        <w:t>Report location:</w:t>
      </w:r>
      <w:bookmarkEnd w:id="6"/>
    </w:p>
    <w:p>
      <w:hyperlink r:id="rId8" w:history="1">
        <w:r>
          <w:rPr>
            <w:color w:val="2980b9"/>
            <w:u w:val="single"/>
          </w:rPr>
          <w:t xml:space="preserve">https://www.fullpicture.app/item/94ebd6b7b5f1d9c54dce21318b0310e9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3D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o.stanford.edu/entries/faith/?fbclid=IwAR0i_FM3hHMcJoGTNSFOuYdyZlfZ3ZYJ9rN9u0_fbRNFRX2h1n2NvTVLuUk" TargetMode="External"/><Relationship Id="rId8" Type="http://schemas.openxmlformats.org/officeDocument/2006/relationships/hyperlink" Target="https://www.fullpicture.app/item/94ebd6b7b5f1d9c54dce21318b0310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2023-02-22T02:34:04+01:00</dcterms:created>
  <dcterms:modified xsi:type="dcterms:W3CDTF">2023-02-22T02:34:04+01:00</dcterms:modified>
</cp:coreProperties>
</file>

<file path=docProps/custom.xml><?xml version="1.0" encoding="utf-8"?>
<Properties xmlns="http://schemas.openxmlformats.org/officeDocument/2006/custom-properties" xmlns:vt="http://schemas.openxmlformats.org/officeDocument/2006/docPropsVTypes"/>
</file>