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Toxoplasma micropore mediates endocytosis for selective nutrient salvage from host cell compartments | Nature Communications</w:t>
      </w:r>
      <w:br/>
      <w:hyperlink r:id="rId7" w:history="1">
        <w:r>
          <w:rPr>
            <w:color w:val="2980b9"/>
            <w:u w:val="single"/>
          </w:rPr>
          <w:t xml:space="preserve">https://www.nature.com/articles/s41467-023-36571-4</w:t>
        </w:r>
      </w:hyperlink>
    </w:p>
    <w:p>
      <w:pPr>
        <w:pStyle w:val="Heading1"/>
      </w:pPr>
      <w:bookmarkStart w:id="2" w:name="_Toc2"/>
      <w:r>
        <w:t>Article summary:</w:t>
      </w:r>
      <w:bookmarkEnd w:id="2"/>
    </w:p>
    <w:p>
      <w:pPr>
        <w:jc w:val="both"/>
      </w:pPr>
      <w:r>
        <w:rPr/>
        <w:t xml:space="preserve">1. The Toxoplasma micropore, a structure found on the surface of the parasite, is involved in active endocytosis and nutrient acquisition from host cells.</w:t>
      </w:r>
    </w:p>
    <w:p>
      <w:pPr>
        <w:jc w:val="both"/>
      </w:pPr>
      <w:r>
        <w:rPr/>
        <w:t xml:space="preserve">2. Proteins involved in clathrin-mediated endocytosis (CME) were identified at the micropore, suggesting that this mechanism is utilized by T. gondii for nutrient uptake.</w:t>
      </w:r>
    </w:p>
    <w:p>
      <w:pPr>
        <w:jc w:val="both"/>
      </w:pPr>
      <w:r>
        <w:rPr/>
        <w:t xml:space="preserve">3. The discovery of these proteins provides insights into the elusive mechanisms of nutrient acquisition in apicomplexan parasites and highlights the essential role of the micropore in T. gondii.</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"The Toxoplasma micropore mediates endocytosis for selective nutrient salvage from host cell compartments" published in Nature Communications discusses the role of the micropore in nutrient acquisition by the parasite Toxoplasma gondii. While the article provides valuable insights into the mechanisms of endocytosis and nutrient scavenging by T. gondii, there are several potential biases and limitations that need to be considered.</w:t>
      </w:r>
    </w:p>
    <w:p>
      <w:pPr>
        <w:jc w:val="both"/>
      </w:pPr>
      <w:r>
        <w:rPr/>
        <w:t xml:space="preserve"/>
      </w:r>
    </w:p>
    <w:p>
      <w:pPr>
        <w:jc w:val="both"/>
      </w:pPr>
      <w:r>
        <w:rPr/>
        <w:t xml:space="preserve">One potential bias in the article is the focus on T. gondii as a model organism for studying endocytosis and nutrient acquisition in apicomplexan parasites. The authors state that T. gondii could serve as a good model organism to understand these processes, but it is important to note that other apicomplexan parasites may have different mechanisms of nutrient acquisition. Therefore, generalizing the findings from T. gondii to all apicomplexan parasites may not be accurate.</w:t>
      </w:r>
    </w:p>
    <w:p>
      <w:pPr>
        <w:jc w:val="both"/>
      </w:pPr>
      <w:r>
        <w:rPr/>
        <w:t xml:space="preserve"/>
      </w:r>
    </w:p>
    <w:p>
      <w:pPr>
        <w:jc w:val="both"/>
      </w:pPr>
      <w:r>
        <w:rPr/>
        <w:t xml:space="preserve">Another limitation of the article is the lack of solid evidence for the micropore acting as a site for endocytosis and/or as a functional structure in related parasites. The authors mention that studies suggesting other potential sites of endocytosis in T. gondii have increased the mystery surrounding endocytosis and nutrient acquisition, indicating that there is still much unknown about these processes.</w:t>
      </w:r>
    </w:p>
    <w:p>
      <w:pPr>
        <w:jc w:val="both"/>
      </w:pPr>
      <w:r>
        <w:rPr/>
        <w:t xml:space="preserve"/>
      </w:r>
    </w:p>
    <w:p>
      <w:pPr>
        <w:jc w:val="both"/>
      </w:pPr>
      <w:r>
        <w:rPr/>
        <w:t xml:space="preserve">Additionally, while the article presents evidence for proteins localized to the micropore in T. gondii, it does not provide direct evidence for their involvement in endocytosis or nutrient acquisition. The authors state that these proteins are localized at the micropore based on their co-localization with EPS15, but further experiments are needed to confirm their functional role.</w:t>
      </w:r>
    </w:p>
    <w:p>
      <w:pPr>
        <w:jc w:val="both"/>
      </w:pPr>
      <w:r>
        <w:rPr/>
        <w:t xml:space="preserve"/>
      </w:r>
    </w:p>
    <w:p>
      <w:pPr>
        <w:jc w:val="both"/>
      </w:pPr>
      <w:r>
        <w:rPr/>
        <w:t xml:space="preserve">Furthermore, there is limited discussion of potential counterarguments or alternative explanations for the observed phenomena. The article primarily focuses on supporting its claims rather than considering alternative hypotheses or conflicting evidence.</w:t>
      </w:r>
    </w:p>
    <w:p>
      <w:pPr>
        <w:jc w:val="both"/>
      </w:pPr>
      <w:r>
        <w:rPr/>
        <w:t xml:space="preserve"/>
      </w:r>
    </w:p>
    <w:p>
      <w:pPr>
        <w:jc w:val="both"/>
      </w:pPr>
      <w:r>
        <w:rPr/>
        <w:t xml:space="preserve">It is also worth noting that the article does not discuss any potential risks or drawbacks associated with the micropore-mediated endocytosis in T. gondii. While the authors highlight the importance of nutrient acquisition for parasite growth, they do not address any potential negative consequences of this process for the host cell or the overall infection.</w:t>
      </w:r>
    </w:p>
    <w:p>
      <w:pPr>
        <w:jc w:val="both"/>
      </w:pPr>
      <w:r>
        <w:rPr/>
        <w:t xml:space="preserve"/>
      </w:r>
    </w:p>
    <w:p>
      <w:pPr>
        <w:jc w:val="both"/>
      </w:pPr>
      <w:r>
        <w:rPr/>
        <w:t xml:space="preserve">In terms of reporting, the article provides a detailed description of the experimental methods and results, which is commendable. However, there is a lack of discussion on potential limitations or uncertainties in the findings. The authors present their results as definitive evidence for the role of the micropore in endocytosis and nutrient acquisition without acknowledging any potential limitations or alternative interpretations.</w:t>
      </w:r>
    </w:p>
    <w:p>
      <w:pPr>
        <w:jc w:val="both"/>
      </w:pPr>
      <w:r>
        <w:rPr/>
        <w:t xml:space="preserve"/>
      </w:r>
    </w:p>
    <w:p>
      <w:pPr>
        <w:jc w:val="both"/>
      </w:pPr>
      <w:r>
        <w:rPr/>
        <w:t xml:space="preserve">Overall, while the article provides valuable insights into endocytosis and nutrient acquisition in T. gondii, it has several biases and limitations that need to be considered. Further research is needed to confirm and expand upon these findings, as well as to explore alternative mechanisms of nutrient acquisition in apicomplexan parasites.</w:t>
      </w:r>
    </w:p>
    <w:p>
      <w:pPr>
        <w:pStyle w:val="Heading1"/>
      </w:pPr>
      <w:bookmarkStart w:id="5" w:name="_Toc5"/>
      <w:r>
        <w:t>Topics for further research:</w:t>
      </w:r>
      <w:bookmarkEnd w:id="5"/>
    </w:p>
    <w:p>
      <w:pPr>
        <w:spacing w:after="0"/>
        <w:numPr>
          <w:ilvl w:val="0"/>
          <w:numId w:val="2"/>
        </w:numPr>
      </w:pPr>
      <w:r>
        <w:rPr/>
        <w:t xml:space="preserve">Mechanisms of nutrient acquisition in apicomplexan parasites other than Toxoplasma gondii
</w:t>
      </w:r>
    </w:p>
    <w:p>
      <w:pPr>
        <w:spacing w:after="0"/>
        <w:numPr>
          <w:ilvl w:val="0"/>
          <w:numId w:val="2"/>
        </w:numPr>
      </w:pPr>
      <w:r>
        <w:rPr/>
        <w:t xml:space="preserve">Alternative sites of endocytosis in Toxoplasma gondii
</w:t>
      </w:r>
    </w:p>
    <w:p>
      <w:pPr>
        <w:spacing w:after="0"/>
        <w:numPr>
          <w:ilvl w:val="0"/>
          <w:numId w:val="2"/>
        </w:numPr>
      </w:pPr>
      <w:r>
        <w:rPr/>
        <w:t xml:space="preserve">Functional role of proteins localized to the micropore in Toxoplasma gondii
</w:t>
      </w:r>
    </w:p>
    <w:p>
      <w:pPr>
        <w:spacing w:after="0"/>
        <w:numPr>
          <w:ilvl w:val="0"/>
          <w:numId w:val="2"/>
        </w:numPr>
      </w:pPr>
      <w:r>
        <w:rPr/>
        <w:t xml:space="preserve">Counterarguments or conflicting evidence regarding micropore-mediated endocytosis in Toxoplasma gondii
</w:t>
      </w:r>
    </w:p>
    <w:p>
      <w:pPr>
        <w:spacing w:after="0"/>
        <w:numPr>
          <w:ilvl w:val="0"/>
          <w:numId w:val="2"/>
        </w:numPr>
      </w:pPr>
      <w:r>
        <w:rPr/>
        <w:t xml:space="preserve">Potential risks or drawbacks of micropore-mediated endocytosis in Toxoplasma gondii
</w:t>
      </w:r>
    </w:p>
    <w:p>
      <w:pPr>
        <w:numPr>
          <w:ilvl w:val="0"/>
          <w:numId w:val="2"/>
        </w:numPr>
      </w:pPr>
      <w:r>
        <w:rPr/>
        <w:t xml:space="preserve">Uncertainties and limitations in the findings of the article on micropore-mediated endocytosis in Toxoplasma gondii.</w:t>
      </w:r>
    </w:p>
    <w:p>
      <w:pPr>
        <w:pStyle w:val="Heading1"/>
      </w:pPr>
      <w:bookmarkStart w:id="6" w:name="_Toc6"/>
      <w:r>
        <w:t>Report location:</w:t>
      </w:r>
      <w:bookmarkEnd w:id="6"/>
    </w:p>
    <w:p>
      <w:hyperlink r:id="rId8" w:history="1">
        <w:r>
          <w:rPr>
            <w:color w:val="2980b9"/>
            <w:u w:val="single"/>
          </w:rPr>
          <w:t xml:space="preserve">https://www.fullpicture.app/item/951c67b1c4c1e2684ddc990e94a9348d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7AAC3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467-023-36571-4" TargetMode="External"/><Relationship Id="rId8" Type="http://schemas.openxmlformats.org/officeDocument/2006/relationships/hyperlink" Target="https://www.fullpicture.app/item/951c67b1c4c1e2684ddc990e94a9348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2024-07-22T05:26:44+02:00</dcterms:created>
  <dcterms:modified xsi:type="dcterms:W3CDTF">2024-07-22T05:26:44+02:00</dcterms:modified>
</cp:coreProperties>
</file>

<file path=docProps/custom.xml><?xml version="1.0" encoding="utf-8"?>
<Properties xmlns="http://schemas.openxmlformats.org/officeDocument/2006/custom-properties" xmlns:vt="http://schemas.openxmlformats.org/officeDocument/2006/docPropsVTypes"/>
</file>