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Measuring the economic impact of the British library</w:t>
      </w:r>
      <w:br/>
      <w:hyperlink r:id="rId7" w:history="1">
        <w:r>
          <w:rPr>
            <w:color w:val="2980b9"/>
            <w:u w:val="single"/>
          </w:rPr>
          <w:t xml:space="preserve">https://www-tandfonline-com.ezproxy.lib.gla.ac.uk/doi/full/10.1080/13614530412331296826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Libraries traditionally measure performance through input and output measures, but there is a desire to quantify their value in terms of social, cultural, and economic impacts.</w:t>
      </w:r>
    </w:p>
    <w:p>
      <w:pPr>
        <w:jc w:val="both"/>
      </w:pPr>
      <w:r>
        <w:rPr/>
        <w:t xml:space="preserve">2. The British Library is a national and international research library with collections containing over 150 million items, offering services to researchers, businesses, educators, libraries, and the general public.</w:t>
      </w:r>
    </w:p>
    <w:p>
      <w:pPr>
        <w:jc w:val="both"/>
      </w:pPr>
      <w:r>
        <w:rPr/>
        <w:t xml:space="preserve">3. The Library has traditionally measured performance through input and output measures and anecdotal evidence but sought to undertake an economic impact study to capture a realistic measure of its total economic value and demonstrate its value to society.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该文章主要介绍了英国图书馆的经济影响力，并探讨了如何衡量图书馆的价值。然而，该文章存在一些潜在偏见和不足之处。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首先，该文章没有提及可能存在的负面影响或风险。例如，数字化出版物的增加可能会导致印刷品需求下降，从而对出版业产生负面影响。此外，该文章没有探讨图书馆是否能够有效地应对数字时代带来的挑战。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过于强调英国图书馆的经济价值，而忽略了其文化和社会价值。虽然经济价值是重要的考虑因素之一，但它并不是唯一重要的因素。例如，图书馆可以促进知识传播、文化交流和社会凝聚力等方面的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此外，在衡量英国图书馆的经济影响力时，该文章使用了大量定性数据和案例研究，并未提供充分的定量数据支持其主张。这可能导致读者对其结论产生怀疑。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最后，在介绍英国图书馆时，该文章过于赞美其收藏和服务，并未提及任何缺点或改进空间。这可能导致读者对其报道的客观性产生怀疑。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综上所述，该文章存在一些潜在偏见和不足之处，需要更全面地考虑英国图书馆的价值和挑战。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impact of digitalization on print demand
</w:t>
      </w:r>
    </w:p>
    <w:p>
      <w:pPr>
        <w:spacing w:after="0"/>
        <w:numPr>
          <w:ilvl w:val="0"/>
          <w:numId w:val="2"/>
        </w:numPr>
      </w:pPr>
      <w:r>
        <w:rPr/>
        <w:t xml:space="preserve">Challenges for libraries in the digital age
</w:t>
      </w:r>
    </w:p>
    <w:p>
      <w:pPr>
        <w:spacing w:after="0"/>
        <w:numPr>
          <w:ilvl w:val="0"/>
          <w:numId w:val="2"/>
        </w:numPr>
      </w:pPr>
      <w:r>
        <w:rPr/>
        <w:t xml:space="preserve">Cultural and social value of libraries
</w:t>
      </w:r>
    </w:p>
    <w:p>
      <w:pPr>
        <w:spacing w:after="0"/>
        <w:numPr>
          <w:ilvl w:val="0"/>
          <w:numId w:val="2"/>
        </w:numPr>
      </w:pPr>
      <w:r>
        <w:rPr/>
        <w:t xml:space="preserve">Lack of quantitative data in measuring economic impact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areas for improvement in UK libraries
</w:t>
      </w:r>
    </w:p>
    <w:p>
      <w:pPr>
        <w:numPr>
          <w:ilvl w:val="0"/>
          <w:numId w:val="2"/>
        </w:numPr>
      </w:pPr>
      <w:r>
        <w:rPr/>
        <w:t xml:space="preserve">Need for a more comprehensive consideration of library value and challenges.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https://www.fullpicture.app/item/956d2ebc619383b21532be1dc4da6231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E7CD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tandfonline-com.ezproxy.lib.gla.ac.uk/doi/full/10.1080/13614530412331296826" TargetMode="External"/><Relationship Id="rId8" Type="http://schemas.openxmlformats.org/officeDocument/2006/relationships/hyperlink" Target="https://www.fullpicture.app/item/956d2ebc619383b21532be1dc4da62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2023-03-25T17:14:44+01:00</dcterms:created>
  <dcterms:modified xsi:type="dcterms:W3CDTF">2023-03-25T17:14:44+01:00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