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Fund Flows and Asset Valuations of Bond Mutual Funds: Effect of Side-by-Side Management - ScienceDirect</w:t>
      </w:r>
      <w:br/>
      <w:hyperlink r:id="rId7" w:history="1">
        <w:r>
          <w:rPr>
            <w:color w:val="2980b9"/>
            <w:u w:val="single"/>
          </w:rPr>
          <w:t xml:space="preserve">https://vpn.jlu.edu.cn/https/44696469646131313237446964696461bd6feb2610cba212c258e268de7790f17702c29fe5/science/article/pii/S0378426623001607?via%3Dihub=</w:t>
        </w:r>
      </w:hyperlink>
    </w:p>
    <w:p>
      <w:pPr>
        <w:pStyle w:val="Heading1"/>
      </w:pPr>
      <w:bookmarkStart w:id="2" w:name="_Toc2"/>
      <w:r>
        <w:t>Article summary:</w:t>
      </w:r>
      <w:bookmarkEnd w:id="2"/>
    </w:p>
    <w:p>
      <w:pPr>
        <w:jc w:val="both"/>
      </w:pPr>
      <w:r>
        <w:rPr/>
        <w:t xml:space="preserve">1. 一些投资咨询公司同时管理不同类型的投资产品，如共同基金、对冲基金和私募基金，这种并行管理会在投资咨询公司和投资者之间产生利益冲突。</w:t>
      </w:r>
    </w:p>
    <w:p>
      <w:pPr>
        <w:jc w:val="both"/>
      </w:pPr>
      <w:r>
        <w:rPr/>
        <w:t xml:space="preserve">2. 研究发现，与非并行管理的共同基金相比，同时管理对冲基金和私募基金的共同基金表现较差，这被用作支持利益冲突论点的主要证据。</w:t>
      </w:r>
    </w:p>
    <w:p>
      <w:pPr>
        <w:jc w:val="both"/>
      </w:pPr>
      <w:r>
        <w:rPr/>
        <w:t xml:space="preserve">3. 研究还发现，投资者对于并行管理存在的利益冲突有所认识，并且会减少对表现较差的共同基金的投资。与此同时，共同基金的管理人会夸大其持有资产的公允价值以减少赎回风险。</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中存在潜在的偏见，主要体现在对于投资顾问公司同时管理不同类型投资产品的行为进行了负面揣测，并将其归结为利益冲突。然而，文章没有提供充分的证据来支持这一观点，也没有考虑到可能存在其他原因导致投资绩效不佳的因素。</w:t>
      </w:r>
    </w:p>
    <w:p>
      <w:pPr>
        <w:jc w:val="both"/>
      </w:pPr>
      <w:r>
        <w:rPr/>
        <w:t xml:space="preserve"/>
      </w:r>
    </w:p>
    <w:p>
      <w:pPr>
        <w:jc w:val="both"/>
      </w:pPr>
      <w:r>
        <w:rPr/>
        <w:t xml:space="preserve">2. 片面报道：文章只关注了SBS基金相对于非SBS基金的表现差异，并将其归结为利益冲突。然而，这种比较并不能完全说明问题，因为还有其他因素可能影响基金的绩效，如市场环境、经济周期等。</w:t>
      </w:r>
    </w:p>
    <w:p>
      <w:pPr>
        <w:jc w:val="both"/>
      </w:pPr>
      <w:r>
        <w:rPr/>
        <w:t xml:space="preserve"/>
      </w:r>
    </w:p>
    <w:p>
      <w:pPr>
        <w:jc w:val="both"/>
      </w:pPr>
      <w:r>
        <w:rPr/>
        <w:t xml:space="preserve">3. 无根据的主张：文章声称客户投资者和投资顾问都应该意识到SBS基金存在利益冲突，并提出了一些预测。然而，这些主张缺乏充分的证据支持，并且未能考虑到其他可能解释这些现象的因素。</w:t>
      </w:r>
    </w:p>
    <w:p>
      <w:pPr>
        <w:jc w:val="both"/>
      </w:pPr>
      <w:r>
        <w:rPr/>
        <w:t xml:space="preserve"/>
      </w:r>
    </w:p>
    <w:p>
      <w:pPr>
        <w:jc w:val="both"/>
      </w:pPr>
      <w:r>
        <w:rPr/>
        <w:t xml:space="preserve">4. 缺失的考虑点：文章没有考虑到投资顾问公司同时管理不同类型投资产品可能带来的优势和价值。例如，通过共享研究资源和运营效率，公司可以提供更好的投资策略和服务，从而使客户获益。</w:t>
      </w:r>
    </w:p>
    <w:p>
      <w:pPr>
        <w:jc w:val="both"/>
      </w:pPr>
      <w:r>
        <w:rPr/>
        <w:t xml:space="preserve"/>
      </w:r>
    </w:p>
    <w:p>
      <w:pPr>
        <w:jc w:val="both"/>
      </w:pPr>
      <w:r>
        <w:rPr/>
        <w:t xml:space="preserve">5. 所提出主张的缺失证据：文章声称SBS基金的资产估值被夸大了0.12%，但没有提供充分的证据来支持这一观点。文章也没有解释为什么投资顾问会有动机故意夸大资产估值。</w:t>
      </w:r>
    </w:p>
    <w:p>
      <w:pPr>
        <w:jc w:val="both"/>
      </w:pPr>
      <w:r>
        <w:rPr/>
        <w:t xml:space="preserve"/>
      </w:r>
    </w:p>
    <w:p>
      <w:pPr>
        <w:jc w:val="both"/>
      </w:pPr>
      <w:r>
        <w:rPr/>
        <w:t xml:space="preserve">6. 未探索的反驳：文章没有探讨可能存在的其他解释SBS基金表现不佳的因素，如投资策略、管理团队能力等。</w:t>
      </w:r>
    </w:p>
    <w:p>
      <w:pPr>
        <w:jc w:val="both"/>
      </w:pPr>
      <w:r>
        <w:rPr/>
        <w:t xml:space="preserve"/>
      </w:r>
    </w:p>
    <w:p>
      <w:pPr>
        <w:jc w:val="both"/>
      </w:pPr>
      <w:r>
        <w:rPr/>
        <w:t xml:space="preserve">7. 宣传内容：文章在某种程度上宣传了非SBS基金，并将其视为更可靠和可信赖的选择。然而，这种宣传性言论缺乏充分的依据，并且忽视了市场中存在多样化的投资选择和策略。</w:t>
      </w:r>
    </w:p>
    <w:p>
      <w:pPr>
        <w:jc w:val="both"/>
      </w:pPr>
      <w:r>
        <w:rPr/>
        <w:t xml:space="preserve"/>
      </w:r>
    </w:p>
    <w:p>
      <w:pPr>
        <w:jc w:val="both"/>
      </w:pPr>
      <w:r>
        <w:rPr/>
        <w:t xml:space="preserve">8. 偏袒：文章在描述SBS基金时使用了负面词汇，并将其与利益冲突联系起来，而对于非SBS基金则没有进行类似的描述。这种偏袒可能导致读者对于SBS基金持有偏见。</w:t>
      </w:r>
    </w:p>
    <w:p>
      <w:pPr>
        <w:jc w:val="both"/>
      </w:pPr>
      <w:r>
        <w:rPr/>
        <w:t xml:space="preserve"/>
      </w:r>
    </w:p>
    <w:p>
      <w:pPr>
        <w:jc w:val="both"/>
      </w:pPr>
      <w:r>
        <w:rPr/>
        <w:t xml:space="preserve">9. 是否注意到可能的风险：文章没有充分考虑到投资顾问公司同时管理不同类型投资产品所带来的潜在风险。例如，如果公司管理的某个产品出现问题，可能会对其他产品产生连锁影响。</w:t>
      </w:r>
    </w:p>
    <w:p>
      <w:pPr>
        <w:jc w:val="both"/>
      </w:pPr>
      <w:r>
        <w:rPr/>
        <w:t xml:space="preserve"/>
      </w:r>
    </w:p>
    <w:p>
      <w:pPr>
        <w:jc w:val="both"/>
      </w:pPr>
      <w:r>
        <w:rPr/>
        <w:t xml:space="preserve">10. 没有平等地呈现双方：文章在描述SBS基金时主要关注其负面影响和利益冲突，而对于非SBS基金则没有进行类似的讨论。这种不平等的呈现可能导致读者对于SBS基金持有偏见。</w:t>
      </w:r>
    </w:p>
    <w:p>
      <w:pPr>
        <w:jc w:val="both"/>
      </w:pPr>
      <w:r>
        <w:rPr/>
        <w:t xml:space="preserve"/>
      </w:r>
    </w:p>
    <w:p>
      <w:pPr>
        <w:jc w:val="both"/>
      </w:pPr>
      <w:r>
        <w:rPr/>
        <w:t xml:space="preserve">综上所述，上述文章存在一些潜在的偏见和片面报道，并且缺乏充分的证据来支持其观点。文章没有全面考虑到投资顾问公司同时管理不同类型投资产品所带来的优势和价值，并且忽视了其他可能解释SBS基金表现不佳的因素。因此，读者应该对文章中提出的观点保持审慎，并进一步研究和了解相关问题。</w:t>
      </w:r>
    </w:p>
    <w:p>
      <w:pPr>
        <w:pStyle w:val="Heading1"/>
      </w:pPr>
      <w:bookmarkStart w:id="5" w:name="_Toc5"/>
      <w:r>
        <w:t>Topics for further research:</w:t>
      </w:r>
      <w:bookmarkEnd w:id="5"/>
    </w:p>
    <w:p>
      <w:pPr>
        <w:spacing w:after="0"/>
        <w:numPr>
          <w:ilvl w:val="0"/>
          <w:numId w:val="2"/>
        </w:numPr>
      </w:pPr>
      <w:r>
        <w:rPr/>
        <w:t xml:space="preserve">投资顾问公司管理不同类型投资产品的利益冲突
</w:t>
      </w:r>
    </w:p>
    <w:p>
      <w:pPr>
        <w:spacing w:after="0"/>
        <w:numPr>
          <w:ilvl w:val="0"/>
          <w:numId w:val="2"/>
        </w:numPr>
      </w:pPr>
      <w:r>
        <w:rPr/>
        <w:t xml:space="preserve">SBS基金相对于非SBS基金的表现差异
</w:t>
      </w:r>
    </w:p>
    <w:p>
      <w:pPr>
        <w:spacing w:after="0"/>
        <w:numPr>
          <w:ilvl w:val="0"/>
          <w:numId w:val="2"/>
        </w:numPr>
      </w:pPr>
      <w:r>
        <w:rPr/>
        <w:t xml:space="preserve">客户投资者和投资顾问应该意识到SBS基金存在利益冲突
</w:t>
      </w:r>
    </w:p>
    <w:p>
      <w:pPr>
        <w:spacing w:after="0"/>
        <w:numPr>
          <w:ilvl w:val="0"/>
          <w:numId w:val="2"/>
        </w:numPr>
      </w:pPr>
      <w:r>
        <w:rPr/>
        <w:t xml:space="preserve">投资顾问公司同时管理不同类型投资产品的优势和价值
</w:t>
      </w:r>
    </w:p>
    <w:p>
      <w:pPr>
        <w:spacing w:after="0"/>
        <w:numPr>
          <w:ilvl w:val="0"/>
          <w:numId w:val="2"/>
        </w:numPr>
      </w:pPr>
      <w:r>
        <w:rPr/>
        <w:t xml:space="preserve">SBS基金的资产估值是否被夸大了
</w:t>
      </w:r>
    </w:p>
    <w:p>
      <w:pPr>
        <w:numPr>
          <w:ilvl w:val="0"/>
          <w:numId w:val="2"/>
        </w:numPr>
      </w:pPr>
      <w:r>
        <w:rPr/>
        <w:t xml:space="preserve">其他可能解释SBS基金表现不佳的因素</w:t>
      </w:r>
    </w:p>
    <w:p>
      <w:pPr>
        <w:pStyle w:val="Heading1"/>
      </w:pPr>
      <w:bookmarkStart w:id="6" w:name="_Toc6"/>
      <w:r>
        <w:t>Report location:</w:t>
      </w:r>
      <w:bookmarkEnd w:id="6"/>
    </w:p>
    <w:p>
      <w:hyperlink r:id="rId8" w:history="1">
        <w:r>
          <w:rPr>
            <w:color w:val="2980b9"/>
            <w:u w:val="single"/>
          </w:rPr>
          <w:t xml:space="preserve">https://www.fullpicture.app/item/976ab903f8dac2dfa073aa720a62d3e2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EDD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44696469646131313237446964696461bd6feb2610cba212c258e268de7790f17702c29fe5/science/article/pii/S0378426623001607?via%3Dihub=" TargetMode="External"/><Relationship Id="rId8" Type="http://schemas.openxmlformats.org/officeDocument/2006/relationships/hyperlink" Target="https://www.fullpicture.app/item/976ab903f8dac2dfa073aa720a62d3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2024-01-19T15:52:43+01:00</dcterms:created>
  <dcterms:modified xsi:type="dcterms:W3CDTF">2024-01-19T15:52:43+01:00</dcterms:modified>
</cp:coreProperties>
</file>

<file path=docProps/custom.xml><?xml version="1.0" encoding="utf-8"?>
<Properties xmlns="http://schemas.openxmlformats.org/officeDocument/2006/custom-properties" xmlns:vt="http://schemas.openxmlformats.org/officeDocument/2006/docPropsVTypes"/>
</file>