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Frequency Stability Constrained Optimal Power Flow Incorporating Differential Algebraic Equations of Governor Dynamics | IEEE Journals &amp; Magazine | IEEE Xplore</w:t>
      </w:r>
      <w:br/>
      <w:hyperlink r:id="rId7" w:history="1">
        <w:r>
          <w:rPr>
            <w:color w:val="2980b9"/>
            <w:u w:val="single"/>
          </w:rPr>
          <w:t xml:space="preserve">https://ieeexplore.ieee.org/document/9201188</w:t>
        </w:r>
      </w:hyperlink>
    </w:p>
    <w:p>
      <w:pPr>
        <w:pStyle w:val="Heading1"/>
      </w:pPr>
      <w:bookmarkStart w:id="2" w:name="_Toc2"/>
      <w:r>
        <w:t>Article summary:</w:t>
      </w:r>
      <w:bookmarkEnd w:id="2"/>
    </w:p>
    <w:p>
      <w:pPr>
        <w:jc w:val="both"/>
      </w:pPr>
      <w:r>
        <w:rPr/>
        <w:t xml:space="preserve">1. Primary frequency response (PFR) is inadequate for managing sudden losses of generation due to the increasing integration of converter-interfaced renewable generation.</w:t>
      </w:r>
    </w:p>
    <w:p>
      <w:pPr>
        <w:jc w:val="both"/>
      </w:pPr>
      <w:r>
        <w:rPr/>
        <w:t xml:space="preserve">2. There are no enforceable requirements for market participants to be directly responsive to frequency or for turbine speed governors to be enabled in current ancillary services markets.</w:t>
      </w:r>
    </w:p>
    <w:p>
      <w:pPr>
        <w:jc w:val="both"/>
      </w:pPr>
      <w:r>
        <w:rPr/>
        <w:t xml:space="preserve">3. This article proposes a Frequency Stability Constrained Optimal Power Flow Incorporating Differential Algebraic Equations of Governor Dynamics as a solution to this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sources used are credible and the authors have provided sufficient evidence to support their claims. The article does not appear to contain any promotional content or partiality, and all potential risks are noted throughout the text. </w:t>
      </w:r>
    </w:p>
    <w:p>
      <w:pPr>
        <w:jc w:val="both"/>
      </w:pPr>
      <w:r>
        <w:rPr/>
        <w:t xml:space="preserve">However, there are some points that could be explored further in order to provide a more comprehensive overview of the issue at hand. For example, while the article mentions that there are no enforceable requirements for market participants to be directly responsive to frequency or for turbine speed governors to be enabled in current ancillary services markets, it does not explore what other solutions may exist in order to address this issue. Additionally, while the proposed solution is presented as a viable option, there is no discussion on how it would be implemented in practice or what potential challenges may arise from its implementation. </w:t>
      </w:r>
    </w:p>
    <w:p>
      <w:pPr>
        <w:jc w:val="both"/>
      </w:pPr>
      <w:r>
        <w:rPr/>
        <w:t xml:space="preserve">In conclusion, while this article provides a thorough overview of the issue at hand and presents a viable solution, further exploration into other potential solutions and implementation considerations would help provide a more comprehensive understanding of the topic discussed.</w:t>
      </w:r>
    </w:p>
    <w:p>
      <w:pPr>
        <w:pStyle w:val="Heading1"/>
      </w:pPr>
      <w:bookmarkStart w:id="5" w:name="_Toc5"/>
      <w:r>
        <w:t>Topics for further research:</w:t>
      </w:r>
      <w:bookmarkEnd w:id="5"/>
    </w:p>
    <w:p>
      <w:pPr>
        <w:spacing w:after="0"/>
        <w:numPr>
          <w:ilvl w:val="0"/>
          <w:numId w:val="2"/>
        </w:numPr>
      </w:pPr>
      <w:r>
        <w:rPr/>
        <w:t xml:space="preserve">Frequency response requirements in ancillary services markets</w:t>
      </w:r>
    </w:p>
    <w:p>
      <w:pPr>
        <w:spacing w:after="0"/>
        <w:numPr>
          <w:ilvl w:val="0"/>
          <w:numId w:val="2"/>
        </w:numPr>
      </w:pPr>
      <w:r>
        <w:rPr/>
        <w:t xml:space="preserve">Turbine speed governor requirements in ancillary services markets</w:t>
      </w:r>
    </w:p>
    <w:p>
      <w:pPr>
        <w:spacing w:after="0"/>
        <w:numPr>
          <w:ilvl w:val="0"/>
          <w:numId w:val="2"/>
        </w:numPr>
      </w:pPr>
      <w:r>
        <w:rPr/>
        <w:t xml:space="preserve">Alternative solutions for frequency response in ancillary services markets</w:t>
      </w:r>
    </w:p>
    <w:p>
      <w:pPr>
        <w:spacing w:after="0"/>
        <w:numPr>
          <w:ilvl w:val="0"/>
          <w:numId w:val="2"/>
        </w:numPr>
      </w:pPr>
      <w:r>
        <w:rPr/>
        <w:t xml:space="preserve">Challenges of implementing frequency response in ancillary services markets</w:t>
      </w:r>
    </w:p>
    <w:p>
      <w:pPr>
        <w:spacing w:after="0"/>
        <w:numPr>
          <w:ilvl w:val="0"/>
          <w:numId w:val="2"/>
        </w:numPr>
      </w:pPr>
      <w:r>
        <w:rPr/>
        <w:t xml:space="preserve">Regulatory requirements for frequency response in ancillary services markets</w:t>
      </w:r>
    </w:p>
    <w:p>
      <w:pPr>
        <w:numPr>
          <w:ilvl w:val="0"/>
          <w:numId w:val="2"/>
        </w:numPr>
      </w:pPr>
      <w:r>
        <w:rPr/>
        <w:t xml:space="preserve">Impact of frequency response on ancillary services markets</w:t>
      </w:r>
    </w:p>
    <w:p>
      <w:pPr>
        <w:pStyle w:val="Heading1"/>
      </w:pPr>
      <w:bookmarkStart w:id="6" w:name="_Toc6"/>
      <w:r>
        <w:t>Report location:</w:t>
      </w:r>
      <w:bookmarkEnd w:id="6"/>
    </w:p>
    <w:p>
      <w:hyperlink r:id="rId8" w:history="1">
        <w:r>
          <w:rPr>
            <w:color w:val="2980b9"/>
            <w:u w:val="single"/>
          </w:rPr>
          <w:t xml:space="preserve">https://www.fullpicture.app/item/9890ed37d334339ed4eb7c677d83f966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F4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01188" TargetMode="External"/><Relationship Id="rId8" Type="http://schemas.openxmlformats.org/officeDocument/2006/relationships/hyperlink" Target="https://www.fullpicture.app/item/9890ed37d334339ed4eb7c677d83f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2023-02-23T03:09:09+01:00</dcterms:created>
  <dcterms:modified xsi:type="dcterms:W3CDTF">2023-02-23T03:09:09+01:00</dcterms:modified>
</cp:coreProperties>
</file>

<file path=docProps/custom.xml><?xml version="1.0" encoding="utf-8"?>
<Properties xmlns="http://schemas.openxmlformats.org/officeDocument/2006/custom-properties" xmlns:vt="http://schemas.openxmlformats.org/officeDocument/2006/docPropsVTypes"/>
</file>