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Breaking-Cas-interactive design of guide RNAs for CRISPR-Cas experiments for ENSEMBL genomes - PubMed</w:t>
      </w:r>
      <w:br/>
      <w:hyperlink r:id="rId7" w:history="1">
        <w:r>
          <w:rPr>
            <w:color w:val="2980b9"/>
            <w:u w:val="single"/>
          </w:rPr>
          <w:t xml:space="preserve">https://pubmed.ncbi.nlm.nih.gov/27166368/</w:t>
        </w:r>
      </w:hyperlink>
    </w:p>
    <w:p>
      <w:pPr>
        <w:pStyle w:val="Heading1"/>
      </w:pPr>
      <w:bookmarkStart w:id="2" w:name="_Toc2"/>
      <w:r>
        <w:t>Article summary:</w:t>
      </w:r>
      <w:bookmarkEnd w:id="2"/>
    </w:p>
    <w:p>
      <w:pPr>
        <w:jc w:val="both"/>
      </w:pPr>
      <w:r>
        <w:rPr/>
        <w:t xml:space="preserve">1. CRISPR/Cas 技术使得在多种生物体中进行有针对性的基因组编辑成为可能，通过使用RNA引导核酸酶实现了前所未有的准确性和特异性。</w:t>
      </w:r>
    </w:p>
    <w:p>
      <w:pPr>
        <w:jc w:val="both"/>
      </w:pPr>
      <w:r>
        <w:rPr/>
        <w:t xml:space="preserve"/>
      </w:r>
    </w:p>
    <w:p>
      <w:pPr>
        <w:jc w:val="both"/>
      </w:pPr>
      <w:r>
        <w:rPr/>
        <w:t xml:space="preserve">2. 在规划CRISPR/Cas实验时，设计引导RNA（gRNA）是至关重要的，它指导核酸酶和相关机制到达所需的基因组位置。设计gRNA时必须满足核酸酶的要求，并且不能与其他基因组位点具有同源性，以避免产生非特异效应。</w:t>
      </w:r>
    </w:p>
    <w:p>
      <w:pPr>
        <w:jc w:val="both"/>
      </w:pPr>
      <w:r>
        <w:rPr/>
        <w:t xml:space="preserve"/>
      </w:r>
    </w:p>
    <w:p>
      <w:pPr>
        <w:jc w:val="both"/>
      </w:pPr>
      <w:r>
        <w:rPr/>
        <w:t xml:space="preserve">3. Breaking-Cas系统是一个用于设计CRISPR/Cas实验中gRNAs的工具，可以使用ENSEMBL中所有的真核基因组，在5'或3'位置放置可变PAM序列，并设置gRNA长度和每个核苷酸的评分。该系统具有其他工具不具备的独特功能，并且可以免费访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这篇文章主要介绍了Breaking-Cas系统，用于设计CRISPR/Cas实验中的guide RNAs，包括基于Cas9核酸酶以及其他最近引入的方法。该系统具有其他工具所没有的独特功能，包括可以使用ENSEMBL中所有的真核基因组（目前约为700个），在5'或3'位置放置可变的PAM序列，设置guide RNA长度和每个核苷酸的得分等。然而，在对这篇文章进行批判性分析时，我们需要注意以下几点：</w:t>
      </w:r>
    </w:p>
    <w:p>
      <w:pPr>
        <w:jc w:val="both"/>
      </w:pPr>
      <w:r>
        <w:rPr/>
        <w:t xml:space="preserve"/>
      </w:r>
    </w:p>
    <w:p>
      <w:pPr>
        <w:jc w:val="both"/>
      </w:pPr>
      <w:r>
        <w:rPr/>
        <w:t xml:space="preserve">1. 潜在偏见来源：文章作者可能存在与Breaking-Cas系统相关的潜在利益冲突，例如可能是该系统的开发者或受益者。这种情况下可能会导致对其效果和优势进行过度宣传。</w:t>
      </w:r>
    </w:p>
    <w:p>
      <w:pPr>
        <w:jc w:val="both"/>
      </w:pPr>
      <w:r>
        <w:rPr/>
        <w:t xml:space="preserve"/>
      </w:r>
    </w:p>
    <w:p>
      <w:pPr>
        <w:jc w:val="both"/>
      </w:pPr>
      <w:r>
        <w:rPr/>
        <w:t xml:space="preserve">2. 片面报道：文章未提及任何与Breaking-Cas系统竞争或相似工具的比较研究结果。缺乏与其他类似工具进行客观比较可能导致读者对该系统的真实效果产生误解。</w:t>
      </w:r>
    </w:p>
    <w:p>
      <w:pPr>
        <w:jc w:val="both"/>
      </w:pPr>
      <w:r>
        <w:rPr/>
        <w:t xml:space="preserve"/>
      </w:r>
    </w:p>
    <w:p>
      <w:pPr>
        <w:jc w:val="both"/>
      </w:pPr>
      <w:r>
        <w:rPr/>
        <w:t xml:space="preserve">3. 无根据的主张：文章声称Breaking-Cas系统具有其他工具所没有的独特功能，但未提供足够数据或实验证据来支持这一说法。缺乏实验证据支撑的主张可能使读者产生质疑。</w:t>
      </w:r>
    </w:p>
    <w:p>
      <w:pPr>
        <w:jc w:val="both"/>
      </w:pPr>
      <w:r>
        <w:rPr/>
        <w:t xml:space="preserve"/>
      </w:r>
    </w:p>
    <w:p>
      <w:pPr>
        <w:jc w:val="both"/>
      </w:pPr>
      <w:r>
        <w:rPr/>
        <w:t xml:space="preserve">4. 缺失考虑点：文章未讨论Breaking-Cas系统在实际应用中可能遇到的限制或挑战，如是否适用于所有类型的基因组编辑实验、是否存在特定物种或序列上的局限性等。</w:t>
      </w:r>
    </w:p>
    <w:p>
      <w:pPr>
        <w:jc w:val="both"/>
      </w:pPr>
      <w:r>
        <w:rPr/>
        <w:t xml:space="preserve"/>
      </w:r>
    </w:p>
    <w:p>
      <w:pPr>
        <w:jc w:val="both"/>
      </w:pPr>
      <w:r>
        <w:rPr/>
        <w:t xml:space="preserve">5. 未探索反驳：文章未提及任何关于CRISPR/Cas技术存在争议或风险方面的反驳观点。忽略了潜在争议问题可能导致读者对该技术整体风险认识不足。</w:t>
      </w:r>
    </w:p>
    <w:p>
      <w:pPr>
        <w:jc w:val="both"/>
      </w:pPr>
      <w:r>
        <w:rPr/>
        <w:t xml:space="preserve"/>
      </w:r>
    </w:p>
    <w:p>
      <w:pPr>
        <w:jc w:val="both"/>
      </w:pPr>
      <w:r>
        <w:rPr/>
        <w:t xml:space="preserve">总体而言，尽管这篇文章介绍了一个新颖且有潜力的工具，但读者在阅读时应保持批判思维，并寻找更全面、客观地评估Breaking-Cas系统效果和优势的信息来源。</w:t>
      </w:r>
    </w:p>
    <w:p>
      <w:pPr>
        <w:pStyle w:val="Heading1"/>
      </w:pPr>
      <w:bookmarkStart w:id="5" w:name="_Toc5"/>
      <w:r>
        <w:t>Topics for further research:</w:t>
      </w:r>
      <w:bookmarkEnd w:id="5"/>
    </w:p>
    <w:p>
      <w:pPr>
        <w:spacing w:after="0"/>
        <w:numPr>
          <w:ilvl w:val="0"/>
          <w:numId w:val="2"/>
        </w:numPr>
      </w:pPr>
      <w:r>
        <w:rPr/>
        <w:t xml:space="preserve">Breaking-Cas系统的潜在利益冲突
</w:t>
      </w:r>
    </w:p>
    <w:p>
      <w:pPr>
        <w:spacing w:after="0"/>
        <w:numPr>
          <w:ilvl w:val="0"/>
          <w:numId w:val="2"/>
        </w:numPr>
      </w:pPr>
      <w:r>
        <w:rPr/>
        <w:t xml:space="preserve">Breaking-Cas系统与其他类似工具的比较研究
</w:t>
      </w:r>
    </w:p>
    <w:p>
      <w:pPr>
        <w:spacing w:after="0"/>
        <w:numPr>
          <w:ilvl w:val="0"/>
          <w:numId w:val="2"/>
        </w:numPr>
      </w:pPr>
      <w:r>
        <w:rPr/>
        <w:t xml:space="preserve">Breaking-Cas系统独特功能的实验证据
</w:t>
      </w:r>
    </w:p>
    <w:p>
      <w:pPr>
        <w:spacing w:after="0"/>
        <w:numPr>
          <w:ilvl w:val="0"/>
          <w:numId w:val="2"/>
        </w:numPr>
      </w:pPr>
      <w:r>
        <w:rPr/>
        <w:t xml:space="preserve">Breaking-Cas系统在实际应用中可能遇到的限制
</w:t>
      </w:r>
    </w:p>
    <w:p>
      <w:pPr>
        <w:spacing w:after="0"/>
        <w:numPr>
          <w:ilvl w:val="0"/>
          <w:numId w:val="2"/>
        </w:numPr>
      </w:pPr>
      <w:r>
        <w:rPr/>
        <w:t xml:space="preserve">CRISPR/Cas技术存在的争议和风险
</w:t>
      </w:r>
    </w:p>
    <w:p>
      <w:pPr>
        <w:numPr>
          <w:ilvl w:val="0"/>
          <w:numId w:val="2"/>
        </w:numPr>
      </w:pPr>
      <w:r>
        <w:rPr/>
        <w:t xml:space="preserve">更全面、客观地评估Breaking-Cas系统的信息来源</w:t>
      </w:r>
    </w:p>
    <w:p>
      <w:pPr>
        <w:pStyle w:val="Heading1"/>
      </w:pPr>
      <w:bookmarkStart w:id="6" w:name="_Toc6"/>
      <w:r>
        <w:t>Report location:</w:t>
      </w:r>
      <w:bookmarkEnd w:id="6"/>
    </w:p>
    <w:p>
      <w:hyperlink r:id="rId8" w:history="1">
        <w:r>
          <w:rPr>
            <w:color w:val="2980b9"/>
            <w:u w:val="single"/>
          </w:rPr>
          <w:t xml:space="preserve">https://www.fullpicture.app/item/9956f439dbda8ba32bcf3820d87d02e1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5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166368/" TargetMode="External"/><Relationship Id="rId8" Type="http://schemas.openxmlformats.org/officeDocument/2006/relationships/hyperlink" Target="https://www.fullpicture.app/item/9956f439dbda8ba32bcf3820d87d02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2024-06-28T15:54:56+02:00</dcterms:created>
  <dcterms:modified xsi:type="dcterms:W3CDTF">2024-06-28T15:54:56+02:00</dcterms:modified>
</cp:coreProperties>
</file>

<file path=docProps/custom.xml><?xml version="1.0" encoding="utf-8"?>
<Properties xmlns="http://schemas.openxmlformats.org/officeDocument/2006/custom-properties" xmlns:vt="http://schemas.openxmlformats.org/officeDocument/2006/docPropsVTypes"/>
</file>