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ARID1A mutant ovarian clear cell carcinoma: A clear target for synthetic lethal strategies - ScienceDirect</w:t>
      </w:r>
      <w:br/>
      <w:hyperlink r:id="rId7" w:history="1">
        <w:r>
          <w:rPr>
            <w:color w:val="2980b9"/>
            <w:u w:val="single"/>
          </w:rPr>
          <w:t xml:space="preserve">https://www.sciencedirect.com/science/article/pii/S0304419X1830091X?via%3Dihub</w:t>
        </w:r>
      </w:hyperlink>
    </w:p>
    <w:p>
      <w:pPr>
        <w:pStyle w:val="Heading1"/>
      </w:pPr>
      <w:bookmarkStart w:id="2" w:name="_Toc2"/>
      <w:r>
        <w:t>Article summary:</w:t>
      </w:r>
      <w:bookmarkEnd w:id="2"/>
    </w:p>
    <w:p>
      <w:pPr>
        <w:jc w:val="both"/>
      </w:pPr>
      <w:r>
        <w:rPr/>
        <w:t xml:space="preserve">1. SWI/SNF chromatin remodeling complexes play an important role in the epigenetic regulation of chromatin structure and gene transcription.</w:t>
      </w:r>
    </w:p>
    <w:p>
      <w:pPr>
        <w:jc w:val="both"/>
      </w:pPr>
      <w:r>
        <w:rPr/>
        <w:t xml:space="preserve">2. ARID1A is the most frequently mutated SWI/SNF complex member, with the highest alteration incidence found in ovarian clear cell carcinoma (OCCC).</w:t>
      </w:r>
    </w:p>
    <w:p>
      <w:pPr>
        <w:jc w:val="both"/>
      </w:pPr>
      <w:r>
        <w:rPr/>
        <w:t xml:space="preserve">3. Synthetic lethal strategies targeting DNA repair proteins PARP and ATR, and epigenetic factors EZH2, HDAC2, HDAC6 and BRD2 can be exploited clinically for ARID1A mutant ovarian clear cell carcinoma.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“ARID1A Mutant Ovarian Clear Cell Carcinoma: A Clear Target for Synthetic Lethal Strategies” is a comprehensive review of current advances in synthetic lethal strategies targeting ARID1A loss in ovarian clear cell carcinoma (OCCC). The article provides a detailed overview of the role of SWI/SNF chromatin remodeling complexes in epigenetic regulation, as well as the mutation incidence of ARID1A across different cancer types. It also discusses potential targets that are only important for tumor growth in an ARID1A mutant context, such as DNA repair proteins PARP and ATR, and epigenetic factors EZH2, HDAC2, HDAC6 and BRD2. </w:t>
      </w:r>
    </w:p>
    <w:p>
      <w:pPr>
        <w:jc w:val="both"/>
      </w:pPr>
      <w:r>
        <w:rPr/>
        <w:t xml:space="preserve">The article is written by experts in the field and is based on reliable sources such as peer-reviewed journals. The authors provide evidence to support their claims throughout the article. Furthermore, they discuss potential risks associated with these strategies which adds to its trustworthiness. </w:t>
      </w:r>
    </w:p>
    <w:p>
      <w:pPr>
        <w:jc w:val="both"/>
      </w:pPr>
      <w:r>
        <w:rPr/>
        <w:t xml:space="preserve">However, there are some points that could have been explored further or discussed more thoroughly. For example, while the authors discuss potential targets for synthetic lethal strategies targeting ARID1A loss in OCCC, they do not provide any information on how these strategies could be implemented or what kind of treatments could be used to target these specific proteins or factors. Additionally, while they mention that mutations in other members of the SWI/SNF complex are found across different cancer types, they do not provide any information on how these mutations affect tumor growth or progression. </w:t>
      </w:r>
    </w:p>
    <w:p>
      <w:pPr>
        <w:jc w:val="both"/>
      </w:pPr>
      <w:r>
        <w:rPr/>
        <w:t xml:space="preserve">In conclusion, this article provides a comprehensive overview of current advances in synthetic lethal strategies targeting ARID1A loss in OCCC and is generally trustworthy and reliable. However it could have explored certain points further or discussed them more thoroughly to provide a more complete picture of this topic.</w:t>
      </w:r>
    </w:p>
    <w:p>
      <w:pPr>
        <w:pStyle w:val="Heading1"/>
      </w:pPr>
      <w:bookmarkStart w:id="5" w:name="_Toc5"/>
      <w:r>
        <w:t>Topics for further research:</w:t>
      </w:r>
      <w:bookmarkEnd w:id="5"/>
    </w:p>
    <w:p>
      <w:pPr>
        <w:spacing w:after="0"/>
        <w:numPr>
          <w:ilvl w:val="0"/>
          <w:numId w:val="2"/>
        </w:numPr>
      </w:pPr>
      <w:r>
        <w:rPr/>
        <w:t xml:space="preserve">Synthetic lethal strategies for ARID1A loss</w:t>
      </w:r>
    </w:p>
    <w:p>
      <w:pPr>
        <w:spacing w:after="0"/>
        <w:numPr>
          <w:ilvl w:val="0"/>
          <w:numId w:val="2"/>
        </w:numPr>
      </w:pPr>
      <w:r>
        <w:rPr/>
        <w:t xml:space="preserve">Treatment options for ARID1A mutant OCCC</w:t>
      </w:r>
    </w:p>
    <w:p>
      <w:pPr>
        <w:spacing w:after="0"/>
        <w:numPr>
          <w:ilvl w:val="0"/>
          <w:numId w:val="2"/>
        </w:numPr>
      </w:pPr>
      <w:r>
        <w:rPr/>
        <w:t xml:space="preserve">SWI/SNF complex mutations in cancer</w:t>
      </w:r>
    </w:p>
    <w:p>
      <w:pPr>
        <w:spacing w:after="0"/>
        <w:numPr>
          <w:ilvl w:val="0"/>
          <w:numId w:val="2"/>
        </w:numPr>
      </w:pPr>
      <w:r>
        <w:rPr/>
        <w:t xml:space="preserve">Role of PARP and ATR in ARID1A mutant OCCC</w:t>
      </w:r>
    </w:p>
    <w:p>
      <w:pPr>
        <w:spacing w:after="0"/>
        <w:numPr>
          <w:ilvl w:val="0"/>
          <w:numId w:val="2"/>
        </w:numPr>
      </w:pPr>
      <w:r>
        <w:rPr/>
        <w:t xml:space="preserve">Epigenetic regulation in ARID1A mutant OCCC</w:t>
      </w:r>
    </w:p>
    <w:p>
      <w:pPr>
        <w:numPr>
          <w:ilvl w:val="0"/>
          <w:numId w:val="2"/>
        </w:numPr>
      </w:pPr>
      <w:r>
        <w:rPr/>
        <w:t xml:space="preserve">Effects of SWI/SNF complex mutations on tumor growth</w:t>
      </w:r>
    </w:p>
    <w:p>
      <w:pPr>
        <w:pStyle w:val="Heading1"/>
      </w:pPr>
      <w:bookmarkStart w:id="6" w:name="_Toc6"/>
      <w:r>
        <w:t>Report location:</w:t>
      </w:r>
      <w:bookmarkEnd w:id="6"/>
    </w:p>
    <w:p>
      <w:hyperlink r:id="rId8" w:history="1">
        <w:r>
          <w:rPr>
            <w:color w:val="2980b9"/>
            <w:u w:val="single"/>
          </w:rPr>
          <w:t xml:space="preserve">https://www.fullpicture.app/item/99c204eddedbfc1bd584d8a166bdd0e5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4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19X1830091X?via%3Dihub" TargetMode="External"/><Relationship Id="rId8" Type="http://schemas.openxmlformats.org/officeDocument/2006/relationships/hyperlink" Target="https://www.fullpicture.app/item/99c204eddedbfc1bd584d8a166bdd0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2023-02-24T08:40:29+01:00</dcterms:created>
  <dcterms:modified xsi:type="dcterms:W3CDTF">2023-02-24T08:40:29+01:00</dcterms:modified>
</cp:coreProperties>
</file>

<file path=docProps/custom.xml><?xml version="1.0" encoding="utf-8"?>
<Properties xmlns="http://schemas.openxmlformats.org/officeDocument/2006/custom-properties" xmlns:vt="http://schemas.openxmlformats.org/officeDocument/2006/docPropsVTypes"/>
</file>