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中华人民共和国海关总署公告2020年第129号</w:t>
      </w:r>
      <w:br/>
      <w:hyperlink r:id="rId7" w:history="1">
        <w:r>
          <w:rPr>
            <w:color w:val="2980b9"/>
            <w:u w:val="single"/>
          </w:rPr>
          <w:t xml:space="preserve">http://www.mofcom.gov.cn/article/b/g/202102/20210203039089.shtml</w:t>
        </w:r>
      </w:hyperlink>
    </w:p>
    <w:p>
      <w:pPr>
        <w:pStyle w:val="Heading1"/>
      </w:pPr>
      <w:bookmarkStart w:id="2" w:name="_Toc2"/>
      <w:r>
        <w:t>Article summary:</w:t>
      </w:r>
      <w:bookmarkEnd w:id="2"/>
    </w:p>
    <w:p>
      <w:pPr>
        <w:jc w:val="both"/>
      </w:pPr>
      <w:r>
        <w:rPr/>
        <w:t xml:space="preserve">1. 海关将对进出口危险化学品进行检查，包括国家《危险化学品目录》中列出的化学品。</w:t>
      </w:r>
    </w:p>
    <w:p>
      <w:pPr>
        <w:jc w:val="both"/>
      </w:pPr>
      <w:r>
        <w:rPr/>
        <w:t xml:space="preserve">2. 进口危险化学品或其代理人在报关时需要提供相关信息和材料，包括危险类别、包装类别、联合国危险货物编号等，并提供《进口危险化学品企业符合性声明》等文件。</w:t>
      </w:r>
    </w:p>
    <w:p>
      <w:pPr>
        <w:jc w:val="both"/>
      </w:pPr>
      <w:r>
        <w:rPr/>
        <w:t xml:space="preserve">3. 出口危险化学品的生产企业或其代理人需要提供相关材料，包括《出口危险化学品生产企业符合性声明》、运输包装性能检验结果表等。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作为一篇官方公告，该文章并没有明显的潜在偏见或片面报道。然而，它可能存在一些缺失的考虑点和未探索的反驳。</w:t>
      </w:r>
    </w:p>
    <w:p>
      <w:pPr>
        <w:jc w:val="both"/>
      </w:pPr>
      <w:r>
        <w:rPr/>
        <w:t xml:space="preserve"/>
      </w:r>
    </w:p>
    <w:p>
      <w:pPr>
        <w:jc w:val="both"/>
      </w:pPr>
      <w:r>
        <w:rPr/>
        <w:t xml:space="preserve">首先，该公告强调了进出口危险化学品的安全管理，并规定了相关检验要求和材料提供。然而，它并没有涉及到如何确保这些化学品在运输、储存和使用过程中的安全性。这是一个重要的考虑点，因为危险化学品在不当使用或管理下可能会对人类健康和环境造成严重影响。</w:t>
      </w:r>
    </w:p>
    <w:p>
      <w:pPr>
        <w:jc w:val="both"/>
      </w:pPr>
      <w:r>
        <w:rPr/>
        <w:t xml:space="preserve"/>
      </w:r>
    </w:p>
    <w:p>
      <w:pPr>
        <w:jc w:val="both"/>
      </w:pPr>
      <w:r>
        <w:rPr/>
        <w:t xml:space="preserve">其次，该公告并没有平等地呈现进口和出口企业之间的差异。例如，在进口企业需要提供中国危险公示标签和安全数据表时，出口企业只需要提供相应的国际标准文件。这种不平等待遇可能会导致贸易壁垒或其他问题。</w:t>
      </w:r>
    </w:p>
    <w:p>
      <w:pPr>
        <w:jc w:val="both"/>
      </w:pPr>
      <w:r>
        <w:rPr/>
        <w:t xml:space="preserve"/>
      </w:r>
    </w:p>
    <w:p>
      <w:pPr>
        <w:jc w:val="both"/>
      </w:pPr>
      <w:r>
        <w:rPr/>
        <w:t xml:space="preserve">此外，该公告也没有提供足够的证据来支持其所提出的主张。例如，在第4条中规定了危险化学品必须符合国家技术规范、相关国际公约等要求，但并没有说明为什么这些要求是必要的或有效的。</w:t>
      </w:r>
    </w:p>
    <w:p>
      <w:pPr>
        <w:jc w:val="both"/>
      </w:pPr>
      <w:r>
        <w:rPr/>
        <w:t xml:space="preserve"/>
      </w:r>
    </w:p>
    <w:p>
      <w:pPr>
        <w:jc w:val="both"/>
      </w:pPr>
      <w:r>
        <w:rPr/>
        <w:t xml:space="preserve">最后，该公告似乎缺乏对潜在风险的足够关注。虽然它提到了危险化学品的安全管理，但并没有明确说明如何应对可能的事故或紧急情况。</w:t>
      </w:r>
    </w:p>
    <w:p>
      <w:pPr>
        <w:jc w:val="both"/>
      </w:pPr>
      <w:r>
        <w:rPr/>
        <w:t xml:space="preserve"/>
      </w:r>
    </w:p>
    <w:p>
      <w:pPr>
        <w:jc w:val="both"/>
      </w:pPr>
      <w:r>
        <w:rPr/>
        <w:t xml:space="preserve">综上所述，该公告虽然没有明显的偏见或片面报道，但仍存在一些缺失的考虑点和未探索的反驳。此外，它也需要更多的证据来支持其所提出的主张，并更加关注潜在风险。</w:t>
      </w:r>
    </w:p>
    <w:p>
      <w:pPr>
        <w:pStyle w:val="Heading1"/>
      </w:pPr>
      <w:bookmarkStart w:id="5" w:name="_Toc5"/>
      <w:r>
        <w:t>Topics for further research:</w:t>
      </w:r>
      <w:bookmarkEnd w:id="5"/>
    </w:p>
    <w:p>
      <w:pPr>
        <w:spacing w:after="0"/>
        <w:numPr>
          <w:ilvl w:val="0"/>
          <w:numId w:val="2"/>
        </w:numPr>
      </w:pPr>
      <w:r>
        <w:rPr/>
        <w:t xml:space="preserve">Chemical safety in transportation</w:t>
      </w:r>
    </w:p>
    <w:p>
      <w:pPr>
        <w:spacing w:after="0"/>
        <w:numPr>
          <w:ilvl w:val="0"/>
          <w:numId w:val="2"/>
        </w:numPr>
      </w:pPr>
      <w:r>
        <w:rPr/>
        <w:t xml:space="preserve">storage</w:t>
      </w:r>
    </w:p>
    <w:p>
      <w:pPr>
        <w:spacing w:after="0"/>
        <w:numPr>
          <w:ilvl w:val="0"/>
          <w:numId w:val="2"/>
        </w:numPr>
      </w:pPr>
      <w:r>
        <w:rPr/>
        <w:t xml:space="preserve">and usage
</w:t>
      </w:r>
    </w:p>
    <w:p>
      <w:pPr>
        <w:spacing w:after="0"/>
        <w:numPr>
          <w:ilvl w:val="0"/>
          <w:numId w:val="2"/>
        </w:numPr>
      </w:pPr>
      <w:r>
        <w:rPr/>
        <w:t xml:space="preserve">Equality between import and export enterprises
</w:t>
      </w:r>
    </w:p>
    <w:p>
      <w:pPr>
        <w:spacing w:after="0"/>
        <w:numPr>
          <w:ilvl w:val="0"/>
          <w:numId w:val="2"/>
        </w:numPr>
      </w:pPr>
      <w:r>
        <w:rPr/>
        <w:t xml:space="preserve">Evidence supporting the requirements and regulations
</w:t>
      </w:r>
    </w:p>
    <w:p>
      <w:pPr>
        <w:spacing w:after="0"/>
        <w:numPr>
          <w:ilvl w:val="0"/>
          <w:numId w:val="2"/>
        </w:numPr>
      </w:pPr>
      <w:r>
        <w:rPr/>
        <w:t xml:space="preserve">Addressing potential risks and emergencies
</w:t>
      </w:r>
    </w:p>
    <w:p>
      <w:pPr>
        <w:spacing w:after="0"/>
        <w:numPr>
          <w:ilvl w:val="0"/>
          <w:numId w:val="2"/>
        </w:numPr>
      </w:pPr>
      <w:r>
        <w:rPr/>
        <w:t xml:space="preserve">International standards and conventions
</w:t>
      </w:r>
    </w:p>
    <w:p>
      <w:pPr>
        <w:numPr>
          <w:ilvl w:val="0"/>
          <w:numId w:val="2"/>
        </w:numPr>
      </w:pPr>
      <w:r>
        <w:rPr/>
        <w:t xml:space="preserve">Trade barriers and other issues</w:t>
      </w:r>
    </w:p>
    <w:p>
      <w:pPr>
        <w:pStyle w:val="Heading1"/>
      </w:pPr>
      <w:bookmarkStart w:id="6" w:name="_Toc6"/>
      <w:r>
        <w:t>Report location:</w:t>
      </w:r>
      <w:bookmarkEnd w:id="6"/>
    </w:p>
    <w:p>
      <w:hyperlink r:id="rId8" w:history="1">
        <w:r>
          <w:rPr>
            <w:color w:val="2980b9"/>
            <w:u w:val="single"/>
          </w:rPr>
          <w:t xml:space="preserve">https://www.fullpicture.app/item/99ee540d43004cb977c317e36bad9a94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D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fcom.gov.cn/article/b/g/202102/20210203039089.shtml" TargetMode="External"/><Relationship Id="rId8" Type="http://schemas.openxmlformats.org/officeDocument/2006/relationships/hyperlink" Target="https://www.fullpicture.app/item/99ee540d43004cb977c317e36bad9a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2024-01-17T12:18:03+01:00</dcterms:created>
  <dcterms:modified xsi:type="dcterms:W3CDTF">2024-01-17T12:18:03+01:00</dcterms:modified>
</cp:coreProperties>
</file>

<file path=docProps/custom.xml><?xml version="1.0" encoding="utf-8"?>
<Properties xmlns="http://schemas.openxmlformats.org/officeDocument/2006/custom-properties" xmlns:vt="http://schemas.openxmlformats.org/officeDocument/2006/docPropsVTypes"/>
</file>