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Precarious subjectivities are not for sale: the loss of the measurability of labour for performing arts workers in: Global Discourse Volume 3 Issue 3-4 (2013)</w:t></w:r><w:br/><w:hyperlink r:id="rId7" w:history="1"><w:r><w:rPr><w:color w:val="2980b9"/><w:u w:val="single"/></w:rPr><w:t xml:space="preserve">https://bristoluniversitypressdigital.com/view/journals/gd/3/3-4/article-p507.xml?utm_source=TrendMD&utm_medium=cpc&utm_campaign=Global_Discourse%253A_An_interdisciplinary_journal_of_current_affairs_TrendMD_0</w:t></w:r></w:hyperlink></w:p><w:p><w:pPr><w:pStyle w:val="Heading1"/></w:pPr><w:bookmarkStart w:id="2" w:name="_Toc2"/><w:r><w:t>Article summary:</w:t></w:r><w:bookmarkEnd w:id="2"/></w:p><w:p><w:pPr><w:jc w:val="both"/></w:pPr><w:r><w:rPr/><w:t xml:space="preserve">1. Contemporary work is increasingly immeasurable, and the performing arts are a laboratory of job flexibility.</w:t></w:r></w:p><w:p><w:pPr><w:jc w:val="both"/></w:pPr><w:r><w:rPr/><w:t xml:space="preserve">2. This article examines the new relationship between time and labour in Italy, focusing on the ‘loss of measurability’ of hired labour.</w:t></w:r></w:p><w:p><w:pPr><w:jc w:val="both"/></w:pPr><w:r><w:rPr/><w:t xml:space="preserve">3. Precariousness emerges as a generative terrain of ambivalent subjectivities, with workers spontaneously mobilized and autonomously organized by desires beyond economic rewards, but also at risk of self-exploitation.</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in its reporting, providing an in-depth analysis of the new relationship between time and labour in Italy's performing arts industry. The author has used both quantitative surveys and in-depth interviews to provide empirical data for their argument, which adds to its credibility. The article does not appear to be biased or one-sided; it presents both sides equally by exploring both the positive aspects of precariousness (such as spontaneous mobilization and autonomous organization) as well as the potential risks (such as self-exploitation). Furthermore, it provides evidence for all claims made throughout the article, such as citing empirical data from surveys and interviews conducted with professionals working in theatre, music, dance and video making. There are no missing points of consideration or unexplored counterarguments that could weaken the argument presented in this article. Additionally, there is no promotional content or partiality present that could undermine its trustworthiness. Finally, possible risks associated with precariousness are noted throughout the article which further strengthens its reliability.</w:t></w:r></w:p><w:p><w:pPr><w:pStyle w:val="Heading1"/></w:pPr><w:bookmarkStart w:id="5" w:name="_Toc5"/><w:r><w:t>Topics for further research:</w:t></w:r><w:bookmarkEnd w:id="5"/></w:p><w:p><w:pPr><w:spacing w:after="0"/><w:numPr><w:ilvl w:val="0"/><w:numId w:val="2"/></w:numPr></w:pPr><w:r><w:rPr/><w:t xml:space="preserve">Precariousness in the performing arts</w:t></w:r></w:p><w:p><w:pPr><w:spacing w:after="0"/><w:numPr><w:ilvl w:val="0"/><w:numId w:val="2"/></w:numPr></w:pPr><w:r><w:rPr/><w:t xml:space="preserve">Precariousness and labour rights</w:t></w:r></w:p><w:p><w:pPr><w:spacing w:after="0"/><w:numPr><w:ilvl w:val="0"/><w:numId w:val="2"/></w:numPr></w:pPr><w:r><w:rPr/><w:t xml:space="preserve">Precariousness and self-exploitation</w:t></w:r></w:p><w:p><w:pPr><w:spacing w:after="0"/><w:numPr><w:ilvl w:val="0"/><w:numId w:val="2"/></w:numPr></w:pPr><w:r><w:rPr/><w:t xml:space="preserve">Precariousness and creative autonomy</w:t></w:r></w:p><w:p><w:pPr><w:spacing w:after="0"/><w:numPr><w:ilvl w:val="0"/><w:numId w:val="2"/></w:numPr></w:pPr><w:r><w:rPr/><w:t xml:space="preserve">Precariousness and the gig economy</w:t></w:r></w:p><w:p><w:pPr><w:numPr><w:ilvl w:val="0"/><w:numId w:val="2"/></w:numPr></w:pPr><w:r><w:rPr/><w:t xml:space="preserve">Precariousness and the Italian labour market</w:t></w:r></w:p><w:p><w:pPr><w:pStyle w:val="Heading1"/></w:pPr><w:bookmarkStart w:id="6" w:name="_Toc6"/><w:r><w:t>Report location:</w:t></w:r><w:bookmarkEnd w:id="6"/></w:p><w:p><w:hyperlink r:id="rId8" w:history="1"><w:r><w:rPr><w:color w:val="2980b9"/><w:u w:val="single"/></w:rPr><w:t xml:space="preserve">https://www.fullpicture.app/item/9b26eb58d40708eff0fa0a20eaea9ad4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241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istoluniversitypressdigital.com/view/journals/gd/3/3-4/article-p507.xml?utm_source=TrendMD&amp;utm_medium=cpc&amp;utm_campaign=Global_Discourse%253A_An_interdisciplinary_journal_of_current_affairs_TrendMD_0" TargetMode="External"/><Relationship Id="rId8" Type="http://schemas.openxmlformats.org/officeDocument/2006/relationships/hyperlink" Target="https://www.fullpicture.app/item/9b26eb58d40708eff0fa0a20eaea9a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2023-02-25T13:29:17+01:00</dcterms:created>
  <dcterms:modified xsi:type="dcterms:W3CDTF">2023-02-25T13:29:17+01:00</dcterms:modified>
</cp:coreProperties>
</file>

<file path=docProps/custom.xml><?xml version="1.0" encoding="utf-8"?>
<Properties xmlns="http://schemas.openxmlformats.org/officeDocument/2006/custom-properties" xmlns:vt="http://schemas.openxmlformats.org/officeDocument/2006/docPropsVTypes"/>
</file>