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Multi-ancestry and multi-trait genome-wide association meta-analyses inform clinical risk prediction for systemic lupus erythematosus | Nature Communications</w:t>
      </w:r>
      <w:br/>
      <w:hyperlink r:id="rId7" w:history="1">
        <w:r>
          <w:rPr>
            <w:color w:val="2980b9"/>
            <w:u w:val="single"/>
          </w:rPr>
          <w:t xml:space="preserve">https://www.nature.com/articles/s41467-023-36306-5</w:t>
        </w:r>
      </w:hyperlink>
    </w:p>
    <w:p>
      <w:pPr>
        <w:pStyle w:val="Heading1"/>
      </w:pPr>
      <w:bookmarkStart w:id="2" w:name="_Toc2"/>
      <w:r>
        <w:t>Article summary:</w:t>
      </w:r>
      <w:bookmarkEnd w:id="2"/>
    </w:p>
    <w:p>
      <w:pPr>
        <w:jc w:val="both"/>
      </w:pPr>
      <w:r>
        <w:rPr/>
        <w:t xml:space="preserve">1. Systemic lupus erythematosus (SLE) is a chronic autoimmune disease that predominantly affects young women and individuals of African, Asian, and Hispanic ancestries. There is no cure or targeted treatment for SLE, and current medications are associated with many side effects.</w:t>
      </w:r>
    </w:p>
    <w:p>
      <w:pPr>
        <w:jc w:val="both"/>
      </w:pPr>
      <w:r>
        <w:rPr/>
        <w:t xml:space="preserve">2. Genome-wide association studies (GWAS) have identified &gt;130 loci that reach genome-wide significance for SLE, but these loci explain only a small fraction of overall heritability and the genes or tissues/cells affected by them remain unclear. Recent GWAS efforts have greatly increased the sample size of non-European ancestry.</w:t>
      </w:r>
    </w:p>
    <w:p>
      <w:pPr>
        <w:jc w:val="both"/>
      </w:pPr>
      <w:r>
        <w:rPr/>
        <w:t xml:space="preserve">3. Multi-ancestry and multi-trait meta-analysis of SLE GWAS datasets from European, Eastern Asian, and Admixed American ancestries identified 106 loci that reach genome-wide significance, including 27 novel loci. The study also conducted transcriptome-wide association studies (TWAS), computational drug repurposing (CDR), cell type enrichment analyses, and constructed polygenic risk scores (PRS) to improve the diagnosis of SLE when used in conjunction with clinical lab tests.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"Multi-ancestry and multi-trait genome-wide association meta-analyses inform clinical risk prediction for systemic lupus erythematosus" provides a comprehensive overview of the genetic architecture underlying systemic lupus erythematosus (SLE) and its potential implications for clinical risk prediction and treatment. The authors assembled multi-ancestry SLE GWAS datasets from European, Eastern Asian, and Admixed American ancestries, as well as aggregated GWAS datasets from 10 genetically correlated autoimmune diseases. They conducted multi-ancestry and multi-trait meta-analysis, transcriptome-wide association studies (TWAS), computational drug repurposing (CDR), cell type enrichment analyses, and constructed polygenic risk scores (PRS) to validate the models in two independent biobanks.</w:t>
      </w:r>
    </w:p>
    <w:p>
      <w:pPr>
        <w:jc w:val="both"/>
      </w:pPr>
      <w:r>
        <w:rPr/>
        <w:t xml:space="preserve"/>
      </w:r>
    </w:p>
    <w:p>
      <w:pPr>
        <w:jc w:val="both"/>
      </w:pPr>
      <w:r>
        <w:rPr/>
        <w:t xml:space="preserve">Overall, the article provides a thorough analysis of the genetic basis of SLE and its potential implications for clinical practice. However, there are some potential biases and limitations that should be considered. Firstly, the study primarily focuses on individuals of European, Eastern Asian, and Admixed American ancestries, which may limit the generalizability of the findings to other populations. Additionally, while the study identifies several novel loci associated with SLE, it is unclear how these loci contribute to disease pathogenesis or whether they represent viable targets for therapeutic intervention.</w:t>
      </w:r>
    </w:p>
    <w:p>
      <w:pPr>
        <w:jc w:val="both"/>
      </w:pPr>
      <w:r>
        <w:rPr/>
        <w:t xml:space="preserve"/>
      </w:r>
    </w:p>
    <w:p>
      <w:pPr>
        <w:jc w:val="both"/>
      </w:pPr>
      <w:r>
        <w:rPr/>
        <w:t xml:space="preserve">Furthermore, while the study employs a range of analytical approaches to identify potential drug targets for SLE treatment, it is unclear how these drugs would perform in clinical trials or whether they would be effective in all patients with SLE. Additionally, while PRS may have utility in improving the diagnosis of SLE when used in conjunction with clinical lab tests such as anti-nuclear antibody (ANA) and anti-double strand DNA (anti-dsDNA), it is unclear how accurate these models are at predicting disease risk or severity.</w:t>
      </w:r>
    </w:p>
    <w:p>
      <w:pPr>
        <w:jc w:val="both"/>
      </w:pPr>
      <w:r>
        <w:rPr/>
        <w:t xml:space="preserve"/>
      </w:r>
    </w:p>
    <w:p>
      <w:pPr>
        <w:jc w:val="both"/>
      </w:pPr>
      <w:r>
        <w:rPr/>
        <w:t xml:space="preserve">Finally, while the article presents a comprehensive overview of the genetic basis of SLE, it does not explore potential environmental or lifestyle factors that may contribute to disease risk or severity. Additionally, the article does not present any counterarguments or alternative perspectives on the genetic basis of SLE, which may limit its overall objectivity.</w:t>
      </w:r>
    </w:p>
    <w:p>
      <w:pPr>
        <w:jc w:val="both"/>
      </w:pPr>
      <w:r>
        <w:rPr/>
        <w:t xml:space="preserve"/>
      </w:r>
    </w:p>
    <w:p>
      <w:pPr>
        <w:jc w:val="both"/>
      </w:pPr>
      <w:r>
        <w:rPr/>
        <w:t xml:space="preserve">In conclusion, while the article provides a comprehensive overview of the genetic basis of SLE and its potential implications for clinical practice, there are some potential biases and limitations that should be considered. Further research is needed to fully understand the complex interplay between genetics, environment, and lifestyle factors in SLE pathogenesis and to develop effective treatments for this debilitating disease.</w:t>
      </w:r>
    </w:p>
    <w:p>
      <w:pPr>
        <w:pStyle w:val="Heading1"/>
      </w:pPr>
      <w:bookmarkStart w:id="5" w:name="_Toc5"/>
      <w:r>
        <w:t>Topics for further research:</w:t>
      </w:r>
      <w:bookmarkEnd w:id="5"/>
    </w:p>
    <w:p>
      <w:pPr>
        <w:spacing w:after="0"/>
        <w:numPr>
          <w:ilvl w:val="0"/>
          <w:numId w:val="2"/>
        </w:numPr>
      </w:pPr>
      <w:r>
        <w:rPr/>
        <w:t xml:space="preserve">Environmental factors and systemic lupus erythematosus
</w:t>
      </w:r>
    </w:p>
    <w:p>
      <w:pPr>
        <w:spacing w:after="0"/>
        <w:numPr>
          <w:ilvl w:val="0"/>
          <w:numId w:val="2"/>
        </w:numPr>
      </w:pPr>
      <w:r>
        <w:rPr/>
        <w:t xml:space="preserve">Lifestyle factors and systemic lupus erythematosus
</w:t>
      </w:r>
    </w:p>
    <w:p>
      <w:pPr>
        <w:spacing w:after="0"/>
        <w:numPr>
          <w:ilvl w:val="0"/>
          <w:numId w:val="2"/>
        </w:numPr>
      </w:pPr>
      <w:r>
        <w:rPr/>
        <w:t xml:space="preserve">Alternative perspectives on the genetic basis of SLE
</w:t>
      </w:r>
    </w:p>
    <w:p>
      <w:pPr>
        <w:spacing w:after="0"/>
        <w:numPr>
          <w:ilvl w:val="0"/>
          <w:numId w:val="2"/>
        </w:numPr>
      </w:pPr>
      <w:r>
        <w:rPr/>
        <w:t xml:space="preserve">Clinical trials for SLE treatments
</w:t>
      </w:r>
    </w:p>
    <w:p>
      <w:pPr>
        <w:spacing w:after="0"/>
        <w:numPr>
          <w:ilvl w:val="0"/>
          <w:numId w:val="2"/>
        </w:numPr>
      </w:pPr>
      <w:r>
        <w:rPr/>
        <w:t xml:space="preserve">Accuracy of polygenic risk scores in predicting SLE risk/severity
</w:t>
      </w:r>
    </w:p>
    <w:p>
      <w:pPr>
        <w:spacing w:after="0"/>
        <w:numPr>
          <w:ilvl w:val="0"/>
          <w:numId w:val="2"/>
        </w:numPr>
      </w:pPr>
      <w:r>
        <w:rPr/>
        <w:t xml:space="preserve">Genetic basis of SLE in populations beyond European</w:t>
      </w:r>
    </w:p>
    <w:p>
      <w:pPr>
        <w:spacing w:after="0"/>
        <w:numPr>
          <w:ilvl w:val="0"/>
          <w:numId w:val="2"/>
        </w:numPr>
      </w:pPr>
      <w:r>
        <w:rPr/>
        <w:t xml:space="preserve">Eastern Asian</w:t>
      </w:r>
    </w:p>
    <w:p>
      <w:pPr>
        <w:numPr>
          <w:ilvl w:val="0"/>
          <w:numId w:val="2"/>
        </w:numPr>
      </w:pPr>
      <w:r>
        <w:rPr/>
        <w:t xml:space="preserve">and Admixed American ancestries</w:t>
      </w:r>
    </w:p>
    <w:p>
      <w:pPr>
        <w:pStyle w:val="Heading1"/>
      </w:pPr>
      <w:bookmarkStart w:id="6" w:name="_Toc6"/>
      <w:r>
        <w:t>Report location:</w:t>
      </w:r>
      <w:bookmarkEnd w:id="6"/>
    </w:p>
    <w:p>
      <w:hyperlink r:id="rId8" w:history="1">
        <w:r>
          <w:rPr>
            <w:color w:val="2980b9"/>
            <w:u w:val="single"/>
          </w:rPr>
          <w:t xml:space="preserve">https://www.fullpicture.app/item/9b6a7abcd5fa147d3083f41e22577c67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908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306-5" TargetMode="External"/><Relationship Id="rId8" Type="http://schemas.openxmlformats.org/officeDocument/2006/relationships/hyperlink" Target="https://www.fullpicture.app/item/9b6a7abcd5fa147d3083f41e22577c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2023-04-13T04:06:46+02:00</dcterms:created>
  <dcterms:modified xsi:type="dcterms:W3CDTF">2023-04-13T04:06:46+02:00</dcterms:modified>
</cp:coreProperties>
</file>

<file path=docProps/custom.xml><?xml version="1.0" encoding="utf-8"?>
<Properties xmlns="http://schemas.openxmlformats.org/officeDocument/2006/custom-properties" xmlns:vt="http://schemas.openxmlformats.org/officeDocument/2006/docPropsVTypes"/>
</file>