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CAPRIN2 upregulation by LINC00941 promotes nasopharyngeal carcinoma ferroptosis resistance and metastatic colonization through HMGCR - PubMed</w:t>
      </w:r>
      <w:br/>
      <w:hyperlink r:id="rId7" w:history="1">
        <w:r>
          <w:rPr>
            <w:color w:val="2980b9"/>
            <w:u w:val="single"/>
          </w:rPr>
          <w:t xml:space="preserve">https://pubmed.ncbi.nlm.nih.gov/36276162/</w:t>
        </w:r>
      </w:hyperlink>
    </w:p>
    <w:p>
      <w:pPr>
        <w:pStyle w:val="Heading1"/>
      </w:pPr>
      <w:bookmarkStart w:id="2" w:name="_Toc2"/>
      <w:r>
        <w:t>Article summary:</w:t>
      </w:r>
      <w:bookmarkEnd w:id="2"/>
    </w:p>
    <w:p>
      <w:pPr>
        <w:jc w:val="both"/>
      </w:pPr>
      <w:r>
        <w:rPr/>
        <w:t xml:space="preserve">1. CAPRIN2的上调通过HMGCR促进鼻咽癌对铁死亡的抵抗和转移定植。</w:t>
      </w:r>
    </w:p>
    <w:p>
      <w:pPr>
        <w:jc w:val="both"/>
      </w:pPr>
      <w:r>
        <w:rPr/>
        <w:t xml:space="preserve">2. LINC00941是CAPRIN2的上游调控因子，其异常激活与鼻咽癌预后不良相关。</w:t>
      </w:r>
    </w:p>
    <w:p>
      <w:pPr>
        <w:jc w:val="both"/>
      </w:pPr>
      <w:r>
        <w:rPr/>
        <w:t xml:space="preserve">3. LINC00941/CAPRIN2/HMGCR轴提供了治疗鼻咽癌的新靶点。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完整的文章内容。由于只提供了文章的标题和摘要，无法对其进行全面的评估和分析。因此，无法提供关于潜在偏见、片面报道、无根据的主张、缺失的考虑点、所提出主张的缺失证据、未探索的反驳、宣传内容等方面的见解。</w:t>
      </w:r>
    </w:p>
    <w:p>
      <w:pPr>
        <w:jc w:val="both"/>
      </w:pPr>
      <w:r>
        <w:rPr/>
        <w:t xml:space="preserve"/>
      </w:r>
    </w:p>
    <w:p>
      <w:pPr>
        <w:jc w:val="both"/>
      </w:pPr>
      <w:r>
        <w:rPr/>
        <w:t xml:space="preserve">然而，根据摘要中提供的信息，可以看出该研究旨在揭示鼻咽癌转移和耐铁死亡抵抗机制，并鉴定新的治疗靶点。该研究发现LINC00941通过上调CAPRIN2促进鼻咽癌细胞对铁死亡的抵抗能力和转移定植能力，并通过HMGCR介导其对铁死亡、存活能力、迁移和侵袭性细胞行为的调节。</w:t>
      </w:r>
    </w:p>
    <w:p>
      <w:pPr>
        <w:jc w:val="both"/>
      </w:pPr>
      <w:r>
        <w:rPr/>
        <w:t xml:space="preserve"/>
      </w:r>
    </w:p>
    <w:p>
      <w:pPr>
        <w:jc w:val="both"/>
      </w:pPr>
      <w:r>
        <w:rPr/>
        <w:t xml:space="preserve">在进行详细批判性分析时，需要仔细审查研究方法、数据分析和结果解释等方面。还需要考虑样本大小、实验设计是否合理以及是否存在其他可能影响结果的因素。此外，还应注意作者是否揭示了潜在利益冲突，并对研究结果的可靠性进行客观评估。</w:t>
      </w:r>
    </w:p>
    <w:p>
      <w:pPr>
        <w:jc w:val="both"/>
      </w:pPr>
      <w:r>
        <w:rPr/>
        <w:t xml:space="preserve"/>
      </w:r>
    </w:p>
    <w:p>
      <w:pPr>
        <w:jc w:val="both"/>
      </w:pPr>
      <w:r>
        <w:rPr/>
        <w:t xml:space="preserve">总之，对于上述文章的详细批判性分析需要更多的信息和全文内容才能进行。</w:t>
      </w:r>
    </w:p>
    <w:p>
      <w:pPr>
        <w:pStyle w:val="Heading1"/>
      </w:pPr>
      <w:bookmarkStart w:id="5" w:name="_Toc5"/>
      <w:r>
        <w:t>Topics for further research:</w:t>
      </w:r>
      <w:bookmarkEnd w:id="5"/>
    </w:p>
    <w:p>
      <w:pPr>
        <w:spacing w:after="0"/>
        <w:numPr>
          <w:ilvl w:val="0"/>
          <w:numId w:val="2"/>
        </w:numPr>
      </w:pPr>
      <w:r>
        <w:rPr/>
        <w:t xml:space="preserve">鼻咽癌转移和耐铁死亡抵抗机制
</w:t>
      </w:r>
    </w:p>
    <w:p>
      <w:pPr>
        <w:spacing w:after="0"/>
        <w:numPr>
          <w:ilvl w:val="0"/>
          <w:numId w:val="2"/>
        </w:numPr>
      </w:pPr>
      <w:r>
        <w:rPr/>
        <w:t xml:space="preserve">LINC00941和CAPRIN2在鼻咽癌细胞中的作用
</w:t>
      </w:r>
    </w:p>
    <w:p>
      <w:pPr>
        <w:spacing w:after="0"/>
        <w:numPr>
          <w:ilvl w:val="0"/>
          <w:numId w:val="2"/>
        </w:numPr>
      </w:pPr>
      <w:r>
        <w:rPr/>
        <w:t xml:space="preserve">HMGCR在铁死亡、存活能力、迁移和侵袭性细胞行为中的调节作用
</w:t>
      </w:r>
    </w:p>
    <w:p>
      <w:pPr>
        <w:spacing w:after="0"/>
        <w:numPr>
          <w:ilvl w:val="0"/>
          <w:numId w:val="2"/>
        </w:numPr>
      </w:pPr>
      <w:r>
        <w:rPr/>
        <w:t xml:space="preserve">研究方法和实验设计
</w:t>
      </w:r>
    </w:p>
    <w:p>
      <w:pPr>
        <w:spacing w:after="0"/>
        <w:numPr>
          <w:ilvl w:val="0"/>
          <w:numId w:val="2"/>
        </w:numPr>
      </w:pPr>
      <w:r>
        <w:rPr/>
        <w:t xml:space="preserve">数据分析和结果解释
</w:t>
      </w:r>
    </w:p>
    <w:p>
      <w:pPr>
        <w:numPr>
          <w:ilvl w:val="0"/>
          <w:numId w:val="2"/>
        </w:numPr>
      </w:pPr>
      <w:r>
        <w:rPr/>
        <w:t xml:space="preserve">潜在利益冲突和研究结果的可靠性评估</w:t>
      </w:r>
    </w:p>
    <w:p>
      <w:pPr>
        <w:pStyle w:val="Heading1"/>
      </w:pPr>
      <w:bookmarkStart w:id="6" w:name="_Toc6"/>
      <w:r>
        <w:t>Report location:</w:t>
      </w:r>
      <w:bookmarkEnd w:id="6"/>
    </w:p>
    <w:p>
      <w:hyperlink r:id="rId8" w:history="1">
        <w:r>
          <w:rPr>
            <w:color w:val="2980b9"/>
            <w:u w:val="single"/>
          </w:rPr>
          <w:t xml:space="preserve">https://www.fullpicture.app/item/9b7106ed44246f903d3b7d67be0595a4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8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76162/" TargetMode="External"/><Relationship Id="rId8" Type="http://schemas.openxmlformats.org/officeDocument/2006/relationships/hyperlink" Target="https://www.fullpicture.app/item/9b7106ed44246f903d3b7d67be059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2024-01-13T02:47:15+01:00</dcterms:created>
  <dcterms:modified xsi:type="dcterms:W3CDTF">2024-01-13T02:47:15+01:00</dcterms:modified>
</cp:coreProperties>
</file>

<file path=docProps/custom.xml><?xml version="1.0" encoding="utf-8"?>
<Properties xmlns="http://schemas.openxmlformats.org/officeDocument/2006/custom-properties" xmlns:vt="http://schemas.openxmlformats.org/officeDocument/2006/docPropsVTypes"/>
</file>