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Prognostic factors associated with advanced chronic kidney disease in a cohort of patients with ANCA vasculitis and renal involvement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https://pubmed.ncbi.nlm.nih.gov/36637487/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该研究旨在评估与ANCA相关血管炎和肾脏受累患者中晚期慢性肾脏疾病（ACKD）相关的预后因素。</w:t>
      </w:r>
    </w:p>
    <w:p>
      <w:pPr>
        <w:jc w:val="both"/>
      </w:pPr>
      <w:r>
        <w:rPr/>
        <w:t xml:space="preserve">2. 研究包括了60名经过活检证实的ANCA肾小球肾炎患者，随访时间为4.2年。结果显示，在随访结束时，有20%的患者出现eGFR &lt; 30 ml/min。单变量分析显示，与ACKD显著相关的因素包括硬化型活检（OR 7.17）、12个月蛋白尿（OR 5.16）和诊断时、诱导结束后以及12个月后的肌酐水平。</w:t>
      </w:r>
    </w:p>
    <w:p>
      <w:pPr>
        <w:jc w:val="both"/>
      </w:pPr>
      <w:r>
        <w:rPr/>
        <w:t xml:space="preserve">3. 多变量分析表明，基线eGFR、治疗6个月后的eGFR和治疗12个月后的eGFR与随访结束时的eGFR显著相关。ROC曲线分析显示，在诱导治疗结束后和治疗12个月后测定的血清肌酐具有最佳的诊断准确性。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总结：该研究发现，在ANCA肾小球肾炎患者中，基线和治疗6个月、12个月后的肌酐水平和eGFR是预测随访结束时ACKD的最佳指标。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这篇文章是一项观察性回顾性研究，旨在评估与ANCA相关血管炎和肾脏受累患者中晚期慢性肾脏疾病（ACKD）相关的预后因素。文章提供了一些有关该研究的结果和发现。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局限性。首先，这是一项单中心的回顾性研究，可能存在选择偏倚和信息偏倚。其次，样本量相对较小，并且只包括特定类型的患者（ANCA相关血管炎和肾脏受累）。因此，这些结果可能不具有广泛适用性，并且不能推广到其他类型的慢性肾脏疾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此外，在方法部分中并未提及如何进行数据收集和分析，也没有详细说明如何进行统计分析。这使得读者难以评估该研究的可靠性和方法学质量。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此外，在讨论部分中没有对结果进行全面、客观地解释。作者没有提及可能存在的限制或假设，并且没有探讨与其他相关研究结果之间的一致性或差异。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最后，文章没有提供对研究结果的实际意义和临床应用的深入讨论。读者无法了解这些发现对患者管理和治疗决策的影响。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这篇文章提供了一些关于ANCA相关血管炎和肾脏受累患者中ACKD预后因素的信息，但由于其方法学限制、缺乏全面解释和实际意义的讨论，读者需要谨慎对待其中的结论，并进一步考虑其他相关研究的结果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ANCA相关血管炎和肾脏受累患者的预后因素
</w:t>
      </w:r>
    </w:p>
    <w:p>
      <w:pPr>
        <w:spacing w:after="0"/>
        <w:numPr>
          <w:ilvl w:val="0"/>
          <w:numId w:val="2"/>
        </w:numPr>
      </w:pPr>
      <w:r>
        <w:rPr/>
        <w:t xml:space="preserve">晚期慢性肾脏疾病（ACKD）的相关因素
</w:t>
      </w:r>
    </w:p>
    <w:p>
      <w:pPr>
        <w:spacing w:after="0"/>
        <w:numPr>
          <w:ilvl w:val="0"/>
          <w:numId w:val="2"/>
        </w:numPr>
      </w:pPr>
      <w:r>
        <w:rPr/>
        <w:t xml:space="preserve">单中心回顾性研究的偏见和局限性
</w:t>
      </w:r>
    </w:p>
    <w:p>
      <w:pPr>
        <w:spacing w:after="0"/>
        <w:numPr>
          <w:ilvl w:val="0"/>
          <w:numId w:val="2"/>
        </w:numPr>
      </w:pPr>
      <w:r>
        <w:rPr/>
        <w:t xml:space="preserve">数据收集和分析方法的描述
</w:t>
      </w:r>
    </w:p>
    <w:p>
      <w:pPr>
        <w:spacing w:after="0"/>
        <w:numPr>
          <w:ilvl w:val="0"/>
          <w:numId w:val="2"/>
        </w:numPr>
      </w:pPr>
      <w:r>
        <w:rPr/>
        <w:t xml:space="preserve">讨论部分中对结果的解释和与其他研究的一致性
</w:t>
      </w:r>
    </w:p>
    <w:p>
      <w:pPr>
        <w:numPr>
          <w:ilvl w:val="0"/>
          <w:numId w:val="2"/>
        </w:numPr>
      </w:pPr>
      <w:r>
        <w:rPr/>
        <w:t xml:space="preserve">结果对患者管理和治疗决策的实际意义和临床应用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https://www.fullpicture.app/item/9e3f01642667da4c07a3ba2ae87df362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489D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637487/" TargetMode="External"/><Relationship Id="rId8" Type="http://schemas.openxmlformats.org/officeDocument/2006/relationships/hyperlink" Target="https://www.fullpicture.app/item/9e3f01642667da4c07a3ba2ae87df36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2024-02-10T09:12:44+01:00</dcterms:created>
  <dcterms:modified xsi:type="dcterms:W3CDTF">2024-02-10T09:12:44+01:00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