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NRF2 regulates serine biosynthesis in non–small cell lung cancer | Nature Genetics</w:t>
      </w:r>
      <w:br/>
      <w:hyperlink r:id="rId7" w:history="1">
        <w:r>
          <w:rPr>
            <w:color w:val="2980b9"/>
            <w:u w:val="single"/>
          </w:rPr>
          <w:t xml:space="preserve">https://www.nature.com/articles/ng.3421</w:t>
        </w:r>
      </w:hyperlink>
    </w:p>
    <w:p>
      <w:pPr>
        <w:pStyle w:val="Heading1"/>
      </w:pPr>
      <w:bookmarkStart w:id="2" w:name="_Toc2"/>
      <w:r>
        <w:t>Article summary:</w:t>
      </w:r>
      <w:bookmarkEnd w:id="2"/>
    </w:p>
    <w:p>
      <w:pPr>
        <w:jc w:val="both"/>
      </w:pPr>
      <w:r>
        <w:rPr/>
        <w:t xml:space="preserve">1. The article examines the activity of the serine/glycine biosynthesis pathway in non-small cell lung cancer (NSCLC) and finds that it is not uniformly operant in NSCLC.</w:t>
      </w:r>
    </w:p>
    <w:p>
      <w:pPr>
        <w:jc w:val="both"/>
      </w:pPr>
      <w:r>
        <w:rPr/>
        <w:t xml:space="preserve">2. The article identifies nuclear factor erythroid-2–related factor 2 (NRF2) as a regulator of PHGDH and the serine biosynthetic pathway, which controls the production of serine from glucose.</w:t>
      </w:r>
    </w:p>
    <w:p>
      <w:pPr>
        <w:jc w:val="both"/>
      </w:pPr>
      <w:r>
        <w:rPr/>
        <w:t xml:space="preserve">3. NRF2 regulates the expression of serine/glycine biosynthesis genes through ATF4, which contributes to downstream metabolism such as purines and thymidine synthesis, glutathione, cystathionine and homocysteine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“NRF2 regulates serine biosynthesis in non–small cell lung cancer | Nature Genetics” is a well-researched piece that provides an in-depth analysis of how NRF2 regulates serine biosynthesis in NSCLC. The authors have provided evidence for their claims by using various methods such as gas chromatography combined with mass spectrometry (GC/MS), gene set enrichment analysis (GSEA), chromatin immunoprecipitation, liquid chromatography (LC)/MS, lentivirus encoding mouse ATF4 (mATF4), etc., to support their findings. Furthermore, they have also discussed potential risks associated with their findings and provided counterarguments for them.</w:t>
      </w:r>
    </w:p>
    <w:p>
      <w:pPr>
        <w:jc w:val="both"/>
      </w:pPr>
      <w:r>
        <w:rPr/>
        <w:t xml:space="preserve">However, there are some areas where the article could be improved upon. For instance, while the authors have discussed potential risks associated with their findings, they have not explored any possible solutions or strategies to mitigate these risks. Additionally, while they have discussed counterarguments for their claims, they have not presented both sides equally or explored other unexplored counterarguments that may exist. Furthermore, there is no mention of any promotional content or partiality in the article which could be seen as a potential bias or source of misinformation.</w:t>
      </w:r>
    </w:p>
    <w:p>
      <w:pPr>
        <w:jc w:val="both"/>
      </w:pPr>
      <w:r>
        <w:rPr/>
        <w:t xml:space="preserve">In conclusion, this article is generally reliable and trustworthy but could benefit from further exploration into unexplored counterarguments and strategies to mitigate potential risks associated with its findings.</w:t>
      </w:r>
    </w:p>
    <w:p>
      <w:pPr>
        <w:pStyle w:val="Heading1"/>
      </w:pPr>
      <w:bookmarkStart w:id="5" w:name="_Toc5"/>
      <w:r>
        <w:t>Topics for further research:</w:t>
      </w:r>
      <w:bookmarkEnd w:id="5"/>
    </w:p>
    <w:p>
      <w:pPr>
        <w:spacing w:after="0"/>
        <w:numPr>
          <w:ilvl w:val="0"/>
          <w:numId w:val="2"/>
        </w:numPr>
      </w:pPr>
      <w:r>
        <w:rPr/>
        <w:t xml:space="preserve">Strategies to mitigate risks associated with NRF2 regulation</w:t>
      </w:r>
    </w:p>
    <w:p>
      <w:pPr>
        <w:spacing w:after="0"/>
        <w:numPr>
          <w:ilvl w:val="0"/>
          <w:numId w:val="2"/>
        </w:numPr>
      </w:pPr>
      <w:r>
        <w:rPr/>
        <w:t xml:space="preserve">Counterarguments to NRF2 regulation in NSCLC</w:t>
      </w:r>
    </w:p>
    <w:p>
      <w:pPr>
        <w:spacing w:after="0"/>
        <w:numPr>
          <w:ilvl w:val="0"/>
          <w:numId w:val="2"/>
        </w:numPr>
      </w:pPr>
      <w:r>
        <w:rPr/>
        <w:t xml:space="preserve">Potential bias in research on NRF2 regulation</w:t>
      </w:r>
    </w:p>
    <w:p>
      <w:pPr>
        <w:spacing w:after="0"/>
        <w:numPr>
          <w:ilvl w:val="0"/>
          <w:numId w:val="2"/>
        </w:numPr>
      </w:pPr>
      <w:r>
        <w:rPr/>
        <w:t xml:space="preserve">Promotional content related to NRF2 regulation</w:t>
      </w:r>
    </w:p>
    <w:p>
      <w:pPr>
        <w:spacing w:after="0"/>
        <w:numPr>
          <w:ilvl w:val="0"/>
          <w:numId w:val="2"/>
        </w:numPr>
      </w:pPr>
      <w:r>
        <w:rPr/>
        <w:t xml:space="preserve">Unexplored counterarguments to NRF2 regulation</w:t>
      </w:r>
    </w:p>
    <w:p>
      <w:pPr>
        <w:numPr>
          <w:ilvl w:val="0"/>
          <w:numId w:val="2"/>
        </w:numPr>
      </w:pPr>
      <w:r>
        <w:rPr/>
        <w:t xml:space="preserve">Strategies to reduce potential misinformation related to NRF2 regulation</w:t>
      </w:r>
    </w:p>
    <w:p>
      <w:pPr>
        <w:pStyle w:val="Heading1"/>
      </w:pPr>
      <w:bookmarkStart w:id="6" w:name="_Toc6"/>
      <w:r>
        <w:t>Report location:</w:t>
      </w:r>
      <w:bookmarkEnd w:id="6"/>
    </w:p>
    <w:p>
      <w:hyperlink r:id="rId8" w:history="1">
        <w:r>
          <w:rPr>
            <w:color w:val="2980b9"/>
            <w:u w:val="single"/>
          </w:rPr>
          <w:t xml:space="preserve">https://www.fullpicture.app/item/9e4b5446e00632a97686a0bb1221b273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39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g.3421" TargetMode="External"/><Relationship Id="rId8" Type="http://schemas.openxmlformats.org/officeDocument/2006/relationships/hyperlink" Target="https://www.fullpicture.app/item/9e4b5446e00632a97686a0bb1221b2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2023-02-20T18:25:35+01:00</dcterms:created>
  <dcterms:modified xsi:type="dcterms:W3CDTF">2023-02-20T18:25:35+01:00</dcterms:modified>
</cp:coreProperties>
</file>

<file path=docProps/custom.xml><?xml version="1.0" encoding="utf-8"?>
<Properties xmlns="http://schemas.openxmlformats.org/officeDocument/2006/custom-properties" xmlns:vt="http://schemas.openxmlformats.org/officeDocument/2006/docPropsVTypes"/>
</file>