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浅议公务员权利救济制度新思路 - 中国知网</w:t></w:r><w:br/><w:hyperlink r:id="rId7" w:history="1"><w:r><w:rPr><w:color w:val="2980b9"/><w:u w:val="single"/></w:rPr><w:t xml:space="preserve">https://kns.cnki.net/kcms2/article/abstract?v=3uoqIhG8C44YLTlOAiTRKibYlV5Vjs7ijP0rjQD-AVm8oHBO0FTadugrLYqFBuqNfaA_S5ZmZeFWmg8AEydtI7MaGpKps2dK&uniplatform=NZKPT</w:t></w:r></w:hyperlink></w:p><w:p><w:pPr><w:pStyle w:val="Heading1"/></w:pPr><w:bookmarkStart w:id="2" w:name="_Toc2"/><w:r><w:t>Article summary:</w:t></w:r><w:bookmarkEnd w:id="2"/></w:p><w:p><w:pPr><w:jc w:val="both"/></w:pPr><w:r><w:rPr/><w:t xml:space="preserve">1. This article discusses the importance of a rights relief system for civil servants in China and the need to balance the necessity of protecting civil servant rights with the special nature of state personnel management.</w:t></w:r></w:p><w:p><w:pPr><w:jc w:val="both"/></w:pPr><w:r><w:rPr/><w:t xml:space="preserve">2. The article proposes a new approach to civil servant rights relief, which is based on distinguishing between different types of rights and constructing a corresponding relief system.</w:t></w:r></w:p><w:p><w:pPr><w:jc w:val="both"/></w:pPr><w:r><w:rPr/><w:t xml:space="preserve">3. The article also provides an analysis of existing rights relief systems in China and their shortcomings, as well as suggestions for further research into this topic.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an in-depth analysis of existing civil servant rights relief systems in China and their shortcomings, as well as proposing a new approach to this issue. The author has provided evidence for their claims by citing relevant literature on the subject, such as “Special Power Relations Theory” and “Internal Administrative Action”. Furthermore, they have provided suggestions for further research into this topic, such as exploring counterarguments and examining possible risks associated with implementing such a system. </w:t></w:r></w:p><w:p><w:pPr><w:jc w:val="both"/></w:pPr><w:r><w:rPr/><w:t xml:space="preserve">However, there are some potential biases that should be noted. For example, the author does not provide any counterarguments or explore any potential risks associated with implementing such a system. Additionally, they do not present both sides equally; instead they focus mainly on the benefits of implementing such a system without considering any potential drawbacks or challenges that may arise from doing so. Finally, there is some promotional content in the article which could be seen as biased towards advocating for such a system without providing sufficient evidence or exploration of potential risks associated with it.</w:t></w:r></w:p><w:p><w:pPr><w:pStyle w:val="Heading1"/></w:pPr><w:bookmarkStart w:id="5" w:name="_Toc5"/><w:r><w:t>Topics for further research:</w:t></w:r><w:bookmarkEnd w:id="5"/></w:p><w:p><w:pPr><w:spacing w:after="0"/><w:numPr><w:ilvl w:val="0"/><w:numId w:val="2"/></w:numPr></w:pPr><w:r><w:rPr/><w:t xml:space="preserve">Civil servant rights relief systems</w:t></w:r></w:p><w:p><w:pPr><w:spacing w:after="0"/><w:numPr><w:ilvl w:val="0"/><w:numId w:val="2"/></w:numPr></w:pPr><w:r><w:rPr/><w:t xml:space="preserve">Special Power Relations Theory</w:t></w:r></w:p><w:p><w:pPr><w:spacing w:after="0"/><w:numPr><w:ilvl w:val="0"/><w:numId w:val="2"/></w:numPr></w:pPr><w:r><w:rPr/><w:t xml:space="preserve">Internal Administrative Action</w:t></w:r></w:p><w:p><w:pPr><w:spacing w:after="0"/><w:numPr><w:ilvl w:val="0"/><w:numId w:val="2"/></w:numPr></w:pPr><w:r><w:rPr/><w:t xml:space="preserve">Counterarguments to civil servant rights relief systems</w:t></w:r></w:p><w:p><w:pPr><w:spacing w:after="0"/><w:numPr><w:ilvl w:val="0"/><w:numId w:val="2"/></w:numPr></w:pPr><w:r><w:rPr/><w:t xml:space="preserve">Potential risks of civil servant rights relief systems</w:t></w:r></w:p><w:p><w:pPr><w:numPr><w:ilvl w:val="0"/><w:numId w:val="2"/></w:numPr></w:pPr><w:r><w:rPr/><w:t xml:space="preserve">Challenges of implementing civil servant rights relief systems</w:t></w:r></w:p><w:p><w:pPr><w:pStyle w:val="Heading1"/></w:pPr><w:bookmarkStart w:id="6" w:name="_Toc6"/><w:r><w:t>Report location:</w:t></w:r><w:bookmarkEnd w:id="6"/></w:p><w:p><w:hyperlink r:id="rId8" w:history="1"><w:r><w:rPr><w:color w:val="2980b9"/><w:u w:val="single"/></w:rPr><w:t xml:space="preserve">https://www.fullpicture.app/item/9f51fcb46ccaff82ab5bed3699e219d8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6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ugrLYqFBuqNfaA_S5ZmZeFWmg8AEydtI7MaGpKps2dK&amp;uniplatform=NZKPT" TargetMode="External"/><Relationship Id="rId8" Type="http://schemas.openxmlformats.org/officeDocument/2006/relationships/hyperlink" Target="https://www.fullpicture.app/item/9f51fcb46ccaff82ab5bed3699e219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2023-02-24T13:44:56+01:00</dcterms:created>
  <dcterms:modified xsi:type="dcterms:W3CDTF">2023-02-24T13:44:56+01:00</dcterms:modified>
</cp:coreProperties>
</file>

<file path=docProps/custom.xml><?xml version="1.0" encoding="utf-8"?>
<Properties xmlns="http://schemas.openxmlformats.org/officeDocument/2006/custom-properties" xmlns:vt="http://schemas.openxmlformats.org/officeDocument/2006/docPropsVTypes"/>
</file>