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定制柠檬酸盐抗凝与不使用抗凝剂在急性肾损伤危重患者连续静脉血液滤过中的比较：一项前瞻性随机对照试验 - PMC</w:t>
      </w:r>
      <w:br/>
      <w:hyperlink r:id="rId7" w:history="1">
        <w:r>
          <w:rPr>
            <w:color w:val="2980b9"/>
            <w:u w:val="single"/>
          </w:rPr>
          <w:t xml:space="preserve">https://www.ncbi.nlm.nih.gov/pmc/articles/PMC10332480/</w:t>
        </w:r>
      </w:hyperlink>
    </w:p>
    <w:p>
      <w:pPr>
        <w:pStyle w:val="Heading1"/>
      </w:pPr>
      <w:bookmarkStart w:id="2" w:name="_Toc2"/>
      <w:r>
        <w:t>Article summary:</w:t>
      </w:r>
      <w:bookmarkEnd w:id="2"/>
    </w:p>
    <w:p>
      <w:pPr>
        <w:jc w:val="both"/>
      </w:pPr>
      <w:r>
        <w:rPr/>
        <w:t xml:space="preserve">1. 本研究比较了定制柠檬酸盐抗凝和不使用抗凝剂在急性肾损伤危重患者连续静脉血液滤过中的效果。</w:t>
      </w:r>
    </w:p>
    <w:p>
      <w:pPr>
        <w:jc w:val="both"/>
      </w:pPr>
      <w:r>
        <w:rPr/>
        <w:t xml:space="preserve">2. 结果显示，定制柠檬酸盐抗凝组的滤器寿命显著延长，并且需要更少的过滤器数量。</w:t>
      </w:r>
    </w:p>
    <w:p>
      <w:pPr>
        <w:jc w:val="both"/>
      </w:pPr>
      <w:r>
        <w:rPr/>
        <w:t xml:space="preserve">3. 定制柠檬酸盐抗凝方案在低收入和中等收入国家是安全、可行和适用的。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前瞻性随机对照试验的结果，旨在比较定制柠檬酸盐抗凝与不使用抗凝剂在急性肾损伤危重患者连续静脉血液滤过中的效果。文章指出，在连续肾脏替代治疗期间使用抗凝剂是必不可少的，但对于出血风险高的患者，建议使用局部柠檬酸盐抗凝而不是全身肝素化。然而，商业柠檬酸盐价格昂贵，在资源有限的地区可能无法获得。</w:t>
      </w:r>
    </w:p>
    <w:p>
      <w:pPr>
        <w:jc w:val="both"/>
      </w:pPr>
      <w:r>
        <w:rPr/>
        <w:t xml:space="preserve"/>
      </w:r>
    </w:p>
    <w:p>
      <w:pPr>
        <w:jc w:val="both"/>
      </w:pPr>
      <w:r>
        <w:rPr/>
        <w:t xml:space="preserve">文章通过将参与者随机分配到接受定制柠檬酸盐抗凝或不使用抗凝剂的组别，并比较两组之间的回路寿命和过滤器数量来评估它们的效果。结果显示，定制柠檬酸盐组的回路寿命显著延长，并且使用的过滤器数量显著降低。</w:t>
      </w:r>
    </w:p>
    <w:p>
      <w:pPr>
        <w:jc w:val="both"/>
      </w:pPr>
      <w:r>
        <w:rPr/>
        <w:t xml:space="preserve"/>
      </w:r>
    </w:p>
    <w:p>
      <w:pPr>
        <w:jc w:val="both"/>
      </w:pPr>
      <w:r>
        <w:rPr/>
        <w:t xml:space="preserve">然而，这篇文章存在一些批判性问题。首先，文章没有提及是否进行了双盲设计以避免主观偏见。其次，文章没有详细说明如何制备定制柠檬酸盐抗凝剂，以及其与商业柠檬酸盐的成本比较。这可能导致对定制柠檬酸盐抗凝剂的可行性和可复制性产生疑问。</w:t>
      </w:r>
    </w:p>
    <w:p>
      <w:pPr>
        <w:jc w:val="both"/>
      </w:pPr>
      <w:r>
        <w:rPr/>
        <w:t xml:space="preserve"/>
      </w:r>
    </w:p>
    <w:p>
      <w:pPr>
        <w:jc w:val="both"/>
      </w:pPr>
      <w:r>
        <w:rPr/>
        <w:t xml:space="preserve">此外，文章没有提供关于定制柠檬酸盐抗凝剂使用过程中可能出现的风险和并发症的详细信息。虽然文章提到了5例因枸橼酸盐蓄积和严重代谢性酸中毒而停用定制柠檬酸盐抗凝剂，但没有进一步讨论这些并发症的严重程度和对患者结果的影响。</w:t>
      </w:r>
    </w:p>
    <w:p>
      <w:pPr>
        <w:jc w:val="both"/>
      </w:pPr>
      <w:r>
        <w:rPr/>
        <w:t xml:space="preserve"/>
      </w:r>
    </w:p>
    <w:p>
      <w:pPr>
        <w:jc w:val="both"/>
      </w:pPr>
      <w:r>
        <w:rPr/>
        <w:t xml:space="preserve">此外，文章没有探讨不使用抗凝剂组可能面临的问题，如频繁更换过滤器是否会增加感染风险或其他并发症。</w:t>
      </w:r>
    </w:p>
    <w:p>
      <w:pPr>
        <w:jc w:val="both"/>
      </w:pPr>
      <w:r>
        <w:rPr/>
        <w:t xml:space="preserve"/>
      </w:r>
    </w:p>
    <w:p>
      <w:pPr>
        <w:jc w:val="both"/>
      </w:pPr>
      <w:r>
        <w:rPr/>
        <w:t xml:space="preserve">最后，文章没有提供关于参与者基线特征差异无统计学意义的具体数据。这使得读者难以评估两组之间是否存在其他潜在偏见或混杂因素。</w:t>
      </w:r>
    </w:p>
    <w:p>
      <w:pPr>
        <w:jc w:val="both"/>
      </w:pPr>
      <w:r>
        <w:rPr/>
        <w:t xml:space="preserve"/>
      </w:r>
    </w:p>
    <w:p>
      <w:pPr>
        <w:jc w:val="both"/>
      </w:pPr>
      <w:r>
        <w:rPr/>
        <w:t xml:space="preserve">总体而言，这篇文章提供了一项有关定制柠檬酸盐抗凝与不使用抗凝剂在急性肾损伤危重患者连续静脉血液滤过中的比较的研究结果。然而，文章存在一些潜在的偏见和不足之处，需要更多的研究来验证其结论，并全面评估两种方法的效果和风险。</w:t>
      </w:r>
    </w:p>
    <w:p>
      <w:pPr>
        <w:pStyle w:val="Heading1"/>
      </w:pPr>
      <w:bookmarkStart w:id="5" w:name="_Toc5"/>
      <w:r>
        <w:t>Topics for further research:</w:t>
      </w:r>
      <w:bookmarkEnd w:id="5"/>
    </w:p>
    <w:p>
      <w:pPr>
        <w:spacing w:after="0"/>
        <w:numPr>
          <w:ilvl w:val="0"/>
          <w:numId w:val="2"/>
        </w:numPr>
      </w:pPr>
      <w:r>
        <w:rPr/>
        <w:t xml:space="preserve">双盲设计和主观偏见
</w:t>
      </w:r>
    </w:p>
    <w:p>
      <w:pPr>
        <w:spacing w:after="0"/>
        <w:numPr>
          <w:ilvl w:val="0"/>
          <w:numId w:val="2"/>
        </w:numPr>
      </w:pPr>
      <w:r>
        <w:rPr/>
        <w:t xml:space="preserve">定制柠檬酸盐抗凝剂的制备和成本比较
</w:t>
      </w:r>
    </w:p>
    <w:p>
      <w:pPr>
        <w:spacing w:after="0"/>
        <w:numPr>
          <w:ilvl w:val="0"/>
          <w:numId w:val="2"/>
        </w:numPr>
      </w:pPr>
      <w:r>
        <w:rPr/>
        <w:t xml:space="preserve">定制柠檬酸盐抗凝剂的可行性和可复制性
</w:t>
      </w:r>
    </w:p>
    <w:p>
      <w:pPr>
        <w:spacing w:after="0"/>
        <w:numPr>
          <w:ilvl w:val="0"/>
          <w:numId w:val="2"/>
        </w:numPr>
      </w:pPr>
      <w:r>
        <w:rPr/>
        <w:t xml:space="preserve">定制柠檬酸盐抗凝剂使用过程中的风险和并发症
</w:t>
      </w:r>
    </w:p>
    <w:p>
      <w:pPr>
        <w:spacing w:after="0"/>
        <w:numPr>
          <w:ilvl w:val="0"/>
          <w:numId w:val="2"/>
        </w:numPr>
      </w:pPr>
      <w:r>
        <w:rPr/>
        <w:t xml:space="preserve">不使用抗凝剂组可能面临的问题
</w:t>
      </w:r>
    </w:p>
    <w:p>
      <w:pPr>
        <w:numPr>
          <w:ilvl w:val="0"/>
          <w:numId w:val="2"/>
        </w:numPr>
      </w:pPr>
      <w:r>
        <w:rPr/>
        <w:t xml:space="preserve">参与者基线特征差异的统计学意义</w:t>
      </w:r>
    </w:p>
    <w:p>
      <w:pPr>
        <w:pStyle w:val="Heading1"/>
      </w:pPr>
      <w:bookmarkStart w:id="6" w:name="_Toc6"/>
      <w:r>
        <w:t>Report location:</w:t>
      </w:r>
      <w:bookmarkEnd w:id="6"/>
    </w:p>
    <w:p>
      <w:hyperlink r:id="rId8" w:history="1">
        <w:r>
          <w:rPr>
            <w:color w:val="2980b9"/>
            <w:u w:val="single"/>
          </w:rPr>
          <w:t xml:space="preserve">https://www.fullpicture.app/item/a04951b69be143c3a5f104652c1ba46c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B06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332480/" TargetMode="External"/><Relationship Id="rId8" Type="http://schemas.openxmlformats.org/officeDocument/2006/relationships/hyperlink" Target="https://www.fullpicture.app/item/a04951b69be143c3a5f104652c1ba4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2024-04-02T04:59:41+02:00</dcterms:created>
  <dcterms:modified xsi:type="dcterms:W3CDTF">2024-04-02T04:59:41+02:00</dcterms:modified>
</cp:coreProperties>
</file>

<file path=docProps/custom.xml><?xml version="1.0" encoding="utf-8"?>
<Properties xmlns="http://schemas.openxmlformats.org/officeDocument/2006/custom-properties" xmlns:vt="http://schemas.openxmlformats.org/officeDocument/2006/docPropsVTypes"/>
</file>