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Creative Accounting or Creative Destruction Firm level - Google 学术搜索</w:t></w:r><w:br/><w:hyperlink r:id="rId7" w:history="1"><w:r><w:rPr><w:color w:val="2980b9"/><w:u w:val="single"/></w:rPr><w:t xml:space="preserve">https://0-scholar-google-com.brum.beds.ac.uk/scholar?hl=zh-CN&as_sdt=0%2C5&q=Creative+Accounting+or+Creative+Destruction+Firm+level&btnG=</w:t></w:r></w:hyperlink></w:p><w:p><w:pPr><w:pStyle w:val="Heading1"/></w:pPr><w:bookmarkStart w:id="2" w:name="_Toc2"/><w:r><w:t>Article summary:</w:t></w:r><w:bookmarkEnd w:id="2"/></w:p><w:p><w:pPr><w:jc w:val="both"/></w:pPr><w:r><w:rPr/><w:t xml:space="preserve">1. This article presents the first comprehensive set of firm-level total factor productivity (TFP) estimates for China's manufacturing sector that spans China's entry into the WTO.</w:t></w:r></w:p><w:p><w:pPr><w:jc w:val="both"/></w:pPr><w:r><w:rPr/><w:t xml:space="preserve">2. The weighted average annual productivity growth for incumbents is 2.85% for a gross output production function and 7.96% for a value added production function over the period 1998–2007.</w:t></w:r></w:p><w:p><w:pPr><w:jc w:val="both"/></w:pPr><w:r><w:rPr/><w:t xml:space="preserve">3. Productivity growth at the firm level in Chinese manufacturing is among the highest compared to other countries.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and trustworthy, as it provides detailed information about the firm-level total factor productivity (TFP) estimates for China's manufacturing sector that spans China's entry into the WTO, as well as providing evidence of its high productivity growth compared to other countries. However, there are some potential biases that should be noted, such as potential selection bias due to only focusing on incumbents rather than new entrants, or potential measurement error due to relying on data from a single source. Additionally, there is no discussion of possible counterarguments or risks associated with this high productivity growth, which could lead to an overly optimistic view of the situation in Chinese manufacturing. Furthermore, there is no exploration of any potential external factors that may have contributed to this high productivity growth, such as government policies or technological advances. Finally, it should also be noted that this article does not present both sides equally; instead it focuses solely on presenting evidence in favor of high productivity growth in Chinese manufacturing without exploring any potential drawbacks or risks associated with this trend.</w:t></w:r></w:p><w:p><w:pPr><w:pStyle w:val="Heading1"/></w:pPr><w:bookmarkStart w:id="5" w:name="_Toc5"/><w:r><w:t>Topics for further research:</w:t></w:r><w:bookmarkEnd w:id="5"/></w:p><w:p><w:pPr><w:spacing w:after="0"/><w:numPr><w:ilvl w:val="0"/><w:numId w:val="2"/></w:numPr></w:pPr><w:r><w:rPr/><w:t xml:space="preserve">China manufacturing sector selection bias</w:t></w:r></w:p><w:p><w:pPr><w:spacing w:after="0"/><w:numPr><w:ilvl w:val="0"/><w:numId w:val="2"/></w:numPr></w:pPr><w:r><w:rPr/><w:t xml:space="preserve">China manufacturing sector measurement error</w:t></w:r></w:p><w:p><w:pPr><w:spacing w:after="0"/><w:numPr><w:ilvl w:val="0"/><w:numId w:val="2"/></w:numPr></w:pPr><w:r><w:rPr/><w:t xml:space="preserve">Risks associated with high productivity growth in China</w:t></w:r></w:p><w:p><w:pPr><w:spacing w:after="0"/><w:numPr><w:ilvl w:val="0"/><w:numId w:val="2"/></w:numPr></w:pPr><w:r><w:rPr/><w:t xml:space="preserve">Government policies and productivity growth in China</w:t></w:r></w:p><w:p><w:pPr><w:spacing w:after="0"/><w:numPr><w:ilvl w:val="0"/><w:numId w:val="2"/></w:numPr></w:pPr><w:r><w:rPr/><w:t xml:space="preserve">Technological advances and productivity growth in China</w:t></w:r></w:p><w:p><w:pPr><w:numPr><w:ilvl w:val="0"/><w:numId w:val="2"/></w:numPr></w:pPr><w:r><w:rPr/><w:t xml:space="preserve">Counterarguments to high productivity growth in China</w:t></w:r></w:p><w:p><w:pPr><w:pStyle w:val="Heading1"/></w:pPr><w:bookmarkStart w:id="6" w:name="_Toc6"/><w:r><w:t>Report location:</w:t></w:r><w:bookmarkEnd w:id="6"/></w:p><w:p><w:hyperlink r:id="rId8" w:history="1"><w:r><w:rPr><w:color w:val="2980b9"/><w:u w:val="single"/></w:rPr><w:t xml:space="preserve">https://www.fullpicture.app/item/a11b7bc9c6803758e8c74a73a0dc294f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8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0-scholar-google-com.brum.beds.ac.uk/scholar?hl=zh-CN&amp;as_sdt=0%2C5&amp;q=Creative+Accounting+or+Creative+Destruction+Firm+level&amp;btnG=" TargetMode="External"/><Relationship Id="rId8" Type="http://schemas.openxmlformats.org/officeDocument/2006/relationships/hyperlink" Target="https://www.fullpicture.app/item/a11b7bc9c6803758e8c74a73a0dc29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2023-02-24T00:17:56+01:00</dcterms:created>
  <dcterms:modified xsi:type="dcterms:W3CDTF">2023-02-24T00:17:56+01:00</dcterms:modified>
</cp:coreProperties>
</file>

<file path=docProps/custom.xml><?xml version="1.0" encoding="utf-8"?>
<Properties xmlns="http://schemas.openxmlformats.org/officeDocument/2006/custom-properties" xmlns:vt="http://schemas.openxmlformats.org/officeDocument/2006/docPropsVTypes"/>
</file>