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Polysaccharide-based gold nanomaterials: Synthesis mechanism, polysaccharide structure-effect, and anticancer activity - ScienceDirect</w:t>
      </w:r>
      <w:br/>
      <w:hyperlink r:id="rId7" w:history="1">
        <w:r>
          <w:rPr>
            <w:color w:val="2980b9"/>
            <w:u w:val="single"/>
          </w:rPr>
          <w:t xml:space="preserve">https://www.sciencedirect.com/science/article/pii/S014486172300749X</w:t>
        </w:r>
      </w:hyperlink>
    </w:p>
    <w:p>
      <w:pPr>
        <w:pStyle w:val="Heading1"/>
      </w:pPr>
      <w:bookmarkStart w:id="2" w:name="_Toc2"/>
      <w:r>
        <w:t>Article summary:</w:t>
      </w:r>
      <w:bookmarkEnd w:id="2"/>
    </w:p>
    <w:p>
      <w:pPr>
        <w:jc w:val="both"/>
      </w:pPr>
      <w:r>
        <w:rPr/>
        <w:t xml:space="preserve">1. Polysaccharide-based gold nanomaterials have attracted interest in biomedical fields due to their prolonged residence time in vivo and enhanced immune response.</w:t>
      </w:r>
    </w:p>
    <w:p>
      <w:pPr>
        <w:jc w:val="both"/>
      </w:pPr>
      <w:r>
        <w:rPr/>
        <w:t xml:space="preserve">2. The synthesis mechanism of polysaccharide-based gold nanomaterials involves breaking glycosidic bonds, reduction of hydroxyl groups, and reduction of amino groups in polysaccharide molecules.</w:t>
      </w:r>
    </w:p>
    <w:p>
      <w:pPr>
        <w:jc w:val="both"/>
      </w:pPr>
      <w:r>
        <w:rPr/>
        <w:t xml:space="preserve">3. The structure of polysaccharides, including molecular weight, composition of monosaccharides, functional groups, glycosidic bonds, and chain conformation, affects the size and shape of gold nanomaterials.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对于上述文章，可以提出以下批判性分析：</w:t>
      </w:r>
    </w:p>
    <w:p>
      <w:pPr>
        <w:jc w:val="both"/>
      </w:pPr>
      <w:r>
        <w:rPr/>
        <w:t xml:space="preserve"/>
      </w:r>
    </w:p>
    <w:p>
      <w:pPr>
        <w:jc w:val="both"/>
      </w:pPr>
      <w:r>
        <w:rPr/>
        <w:t xml:space="preserve">1. 偏见及来源：文章中存在一定的偏见，主要体现在对于多糖基金纳米材料的积极评价和推广。虽然文章提到了多糖基金纳米材料在生物医学领域具有潜在应用前景，但没有充分讨论其可能存在的风险和副作用。这种偏见可能源自作者对该领域的研究兴趣或者与相关产业的利益关系。</w:t>
      </w:r>
    </w:p>
    <w:p>
      <w:pPr>
        <w:jc w:val="both"/>
      </w:pPr>
      <w:r>
        <w:rPr/>
        <w:t xml:space="preserve"/>
      </w:r>
    </w:p>
    <w:p>
      <w:pPr>
        <w:jc w:val="both"/>
      </w:pPr>
      <w:r>
        <w:rPr/>
        <w:t xml:space="preserve">2. 片面报道：文章只着重介绍了多糖基金纳米材料的合成机制、结构效应和抗癌活性等方面，而忽略了其他可能影响其应用的因素。例如，文章未涉及多糖基金纳米材料的稳定性、毒性以及在体内代谢和排泄等方面的问题。</w:t>
      </w:r>
    </w:p>
    <w:p>
      <w:pPr>
        <w:jc w:val="both"/>
      </w:pPr>
      <w:r>
        <w:rPr/>
        <w:t xml:space="preserve"/>
      </w:r>
    </w:p>
    <w:p>
      <w:pPr>
        <w:jc w:val="both"/>
      </w:pPr>
      <w:r>
        <w:rPr/>
        <w:t xml:space="preserve">3. 无根据的主张：文章声称多糖基金纳米材料具有增强免疫反应和抗癌活性，但并未提供足够的证据来支持这些主张。缺乏实验证据使得读者难以判断这些主张是否可靠。</w:t>
      </w:r>
    </w:p>
    <w:p>
      <w:pPr>
        <w:jc w:val="both"/>
      </w:pPr>
      <w:r>
        <w:rPr/>
        <w:t xml:space="preserve"/>
      </w:r>
    </w:p>
    <w:p>
      <w:pPr>
        <w:jc w:val="both"/>
      </w:pPr>
      <w:r>
        <w:rPr/>
        <w:t xml:space="preserve">4. 缺失的考虑点：文章未对多糖基金纳米材料的生产成本、可扩展性以及与传统金纳米材料相比的优势和劣势进行充分讨论。这些因素对于评估多糖基金纳米材料在实际应用中的可行性和竞争力至关重要。</w:t>
      </w:r>
    </w:p>
    <w:p>
      <w:pPr>
        <w:jc w:val="both"/>
      </w:pPr>
      <w:r>
        <w:rPr/>
        <w:t xml:space="preserve"/>
      </w:r>
    </w:p>
    <w:p>
      <w:pPr>
        <w:jc w:val="both"/>
      </w:pPr>
      <w:r>
        <w:rPr/>
        <w:t xml:space="preserve">5. 所提出主张的缺失证据：文章中提到多糖基金纳米材料具有延长体内滞留时间和增强免疫反应等特点，但未提供相关实验证据来支持这些主张。缺乏实验证据使得读者难以确定这些特点是否真实存在。</w:t>
      </w:r>
    </w:p>
    <w:p>
      <w:pPr>
        <w:jc w:val="both"/>
      </w:pPr>
      <w:r>
        <w:rPr/>
        <w:t xml:space="preserve"/>
      </w:r>
    </w:p>
    <w:p>
      <w:pPr>
        <w:jc w:val="both"/>
      </w:pPr>
      <w:r>
        <w:rPr/>
        <w:t xml:space="preserve">6. 未探索的反驳：文章未涉及任何可能存在的反驳观点或争议问题。一个全面而客观的文章应该能够探讨不同观点之间的辩论，并提供相应的证据来支持自己的立场。</w:t>
      </w:r>
    </w:p>
    <w:p>
      <w:pPr>
        <w:jc w:val="both"/>
      </w:pPr>
      <w:r>
        <w:rPr/>
        <w:t xml:space="preserve"/>
      </w:r>
    </w:p>
    <w:p>
      <w:pPr>
        <w:jc w:val="both"/>
      </w:pPr>
      <w:r>
        <w:rPr/>
        <w:t xml:space="preserve">7. 宣传内容：文章中存在一定程度上的宣传内容，过分强调了多糖基金纳米材料在生物医学领域的潜力，而忽略了其他可能更有效或更安全的替代方法。这种宣传性语言可能会误导读者，并使他们对该领域产生过高期望。</w:t>
      </w:r>
    </w:p>
    <w:p>
      <w:pPr>
        <w:jc w:val="both"/>
      </w:pPr>
      <w:r>
        <w:rPr/>
        <w:t xml:space="preserve"/>
      </w:r>
    </w:p>
    <w:p>
      <w:pPr>
        <w:jc w:val="both"/>
      </w:pPr>
      <w:r>
        <w:rPr/>
        <w:t xml:space="preserve">总体而言，上述文章存在一些潜在的偏见和不足之处。对于多糖基金纳米材料的评价过于积极，缺乏充分的证据支持，并忽略了其他可能影响其应用的因素。一个更全面和客观的分析将有助于读者更好地理解该领域的现状和潜在风险。</w:t>
      </w:r>
    </w:p>
    <w:p>
      <w:pPr>
        <w:pStyle w:val="Heading1"/>
      </w:pPr>
      <w:bookmarkStart w:id="5" w:name="_Toc5"/>
      <w:r>
        <w:t>Topics for further research:</w:t>
      </w:r>
      <w:bookmarkEnd w:id="5"/>
    </w:p>
    <w:p>
      <w:pPr>
        <w:spacing w:after="0"/>
        <w:numPr>
          <w:ilvl w:val="0"/>
          <w:numId w:val="2"/>
        </w:numPr>
      </w:pPr>
      <w:r>
        <w:rPr/>
        <w:t xml:space="preserve">多糖基金纳米材料的风险和副作用
</w:t>
      </w:r>
    </w:p>
    <w:p>
      <w:pPr>
        <w:spacing w:after="0"/>
        <w:numPr>
          <w:ilvl w:val="0"/>
          <w:numId w:val="2"/>
        </w:numPr>
      </w:pPr>
      <w:r>
        <w:rPr/>
        <w:t xml:space="preserve">多糖基金纳米材料的稳定性和毒性
</w:t>
      </w:r>
    </w:p>
    <w:p>
      <w:pPr>
        <w:spacing w:after="0"/>
        <w:numPr>
          <w:ilvl w:val="0"/>
          <w:numId w:val="2"/>
        </w:numPr>
      </w:pPr>
      <w:r>
        <w:rPr/>
        <w:t xml:space="preserve">多糖基金纳米材料的代谢和排泄
</w:t>
      </w:r>
    </w:p>
    <w:p>
      <w:pPr>
        <w:spacing w:after="0"/>
        <w:numPr>
          <w:ilvl w:val="0"/>
          <w:numId w:val="2"/>
        </w:numPr>
      </w:pPr>
      <w:r>
        <w:rPr/>
        <w:t xml:space="preserve">多糖基金纳米材料的生产成本和可扩展性
</w:t>
      </w:r>
    </w:p>
    <w:p>
      <w:pPr>
        <w:spacing w:after="0"/>
        <w:numPr>
          <w:ilvl w:val="0"/>
          <w:numId w:val="2"/>
        </w:numPr>
      </w:pPr>
      <w:r>
        <w:rPr/>
        <w:t xml:space="preserve">多糖基金纳米材料与传统金纳米材料的比较
</w:t>
      </w:r>
    </w:p>
    <w:p>
      <w:pPr>
        <w:numPr>
          <w:ilvl w:val="0"/>
          <w:numId w:val="2"/>
        </w:numPr>
      </w:pPr>
      <w:r>
        <w:rPr/>
        <w:t xml:space="preserve">多糖基金纳米材料的延长体内滞留时间和增强免疫反应的实验证据</w:t>
      </w:r>
    </w:p>
    <w:p>
      <w:pPr>
        <w:pStyle w:val="Heading1"/>
      </w:pPr>
      <w:bookmarkStart w:id="6" w:name="_Toc6"/>
      <w:r>
        <w:t>Report location:</w:t>
      </w:r>
      <w:bookmarkEnd w:id="6"/>
    </w:p>
    <w:p>
      <w:hyperlink r:id="rId8" w:history="1">
        <w:r>
          <w:rPr>
            <w:color w:val="2980b9"/>
            <w:u w:val="single"/>
          </w:rPr>
          <w:t xml:space="preserve">https://www.fullpicture.app/item/a1c35ca2637ab45170abd15ec7077567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B3A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486172300749X" TargetMode="External"/><Relationship Id="rId8" Type="http://schemas.openxmlformats.org/officeDocument/2006/relationships/hyperlink" Target="https://www.fullpicture.app/item/a1c35ca2637ab45170abd15ec70775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2023-12-19T03:48:58+01:00</dcterms:created>
  <dcterms:modified xsi:type="dcterms:W3CDTF">2023-12-19T03:48:58+01:00</dcterms:modified>
</cp:coreProperties>
</file>

<file path=docProps/custom.xml><?xml version="1.0" encoding="utf-8"?>
<Properties xmlns="http://schemas.openxmlformats.org/officeDocument/2006/custom-properties" xmlns:vt="http://schemas.openxmlformats.org/officeDocument/2006/docPropsVTypes"/>
</file>