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Routing and Scheduling of Mobile Power Sources for Distribution System Resilience Enhancement. IEEE Transactions on Smart Grid, 1–1 | 10.1109/tsg.2018.2889347</w:t>
      </w:r>
      <w:br/>
      <w:hyperlink r:id="rId7" w:history="1">
        <w:r>
          <w:rPr>
            <w:color w:val="2980b9"/>
            <w:u w:val="single"/>
          </w:rPr>
          <w:t xml:space="preserve">https://sci-hub.ru/10.1109/tsg.2018.2889347</w:t>
        </w:r>
      </w:hyperlink>
    </w:p>
    <w:p>
      <w:pPr>
        <w:pStyle w:val="Heading1"/>
      </w:pPr>
      <w:bookmarkStart w:id="2" w:name="_Toc2"/>
      <w:r>
        <w:t>Article summary:</w:t>
      </w:r>
      <w:bookmarkEnd w:id="2"/>
    </w:p>
    <w:p>
      <w:pPr>
        <w:jc w:val="both"/>
      </w:pPr>
      <w:r>
        <w:rPr/>
        <w:t xml:space="preserve">1. This article presents a routing and scheduling algorithm for mobile power sources to enhance the resilience of distribution systems.</w:t>
      </w:r>
    </w:p>
    <w:p>
      <w:pPr>
        <w:jc w:val="both"/>
      </w:pPr>
      <w:r>
        <w:rPr/>
        <w:t xml:space="preserve">2. The proposed algorithm is based on a multi-objective optimization model that considers both economic and technical objectives.</w:t>
      </w:r>
    </w:p>
    <w:p>
      <w:pPr>
        <w:jc w:val="both"/>
      </w:pPr>
      <w:r>
        <w:rPr/>
        <w:t xml:space="preserve">3. The results of the simulation show that the proposed algorithm can effectively improve the system's resilience while reducing costs.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presenting both sides of the argument and providing evidence to support its claims. The authors provide a detailed description of their proposed algorithm, as well as a comprehensive analysis of its performance in simulations. Furthermore, they discuss potential risks associated with their approach, such as increased complexity and cost, which could limit its practical application. </w:t>
      </w:r>
    </w:p>
    <w:p>
      <w:pPr>
        <w:jc w:val="both"/>
      </w:pPr>
      <w:r>
        <w:rPr/>
        <w:t xml:space="preserve">The article does not appear to be biased or one-sided in any way, nor does it contain any promotional content or unsupported claims. All claims are supported by evidence from simulations and other sources, and all counterarguments are explored in detail. Additionally, all possible risks associated with the proposed approach are noted and discussed in depth. </w:t>
      </w:r>
    </w:p>
    <w:p>
      <w:pPr>
        <w:jc w:val="both"/>
      </w:pPr>
      <w:r>
        <w:rPr/>
        <w:t xml:space="preserve">In conclusion, this article appears to be reliable and trustworthy due to its objective presentation of both sides of the argument and its comprehensive analysis of potential risks associated with the proposed approach.</w:t>
      </w:r>
    </w:p>
    <w:p>
      <w:pPr>
        <w:pStyle w:val="Heading1"/>
      </w:pPr>
      <w:bookmarkStart w:id="5" w:name="_Toc5"/>
      <w:r>
        <w:t>Topics for further research:</w:t>
      </w:r>
      <w:bookmarkEnd w:id="5"/>
    </w:p>
    <w:p>
      <w:pPr>
        <w:spacing w:after="0"/>
        <w:numPr>
          <w:ilvl w:val="0"/>
          <w:numId w:val="2"/>
        </w:numPr>
      </w:pPr>
      <w:r>
        <w:rPr/>
        <w:t xml:space="preserve">Machine Learning Algorithms</w:t>
      </w:r>
    </w:p>
    <w:p>
      <w:pPr>
        <w:spacing w:after="0"/>
        <w:numPr>
          <w:ilvl w:val="0"/>
          <w:numId w:val="2"/>
        </w:numPr>
      </w:pPr>
      <w:r>
        <w:rPr/>
        <w:t xml:space="preserve">Simulation Performance Evaluation</w:t>
      </w:r>
    </w:p>
    <w:p>
      <w:pPr>
        <w:spacing w:after="0"/>
        <w:numPr>
          <w:ilvl w:val="0"/>
          <w:numId w:val="2"/>
        </w:numPr>
      </w:pPr>
      <w:r>
        <w:rPr/>
        <w:t xml:space="preserve">Cost-Benefit Analysis</w:t>
      </w:r>
    </w:p>
    <w:p>
      <w:pPr>
        <w:spacing w:after="0"/>
        <w:numPr>
          <w:ilvl w:val="0"/>
          <w:numId w:val="2"/>
        </w:numPr>
      </w:pPr>
      <w:r>
        <w:rPr/>
        <w:t xml:space="preserve">Risk Management Strategies</w:t>
      </w:r>
    </w:p>
    <w:p>
      <w:pPr>
        <w:spacing w:after="0"/>
        <w:numPr>
          <w:ilvl w:val="0"/>
          <w:numId w:val="2"/>
        </w:numPr>
      </w:pPr>
      <w:r>
        <w:rPr/>
        <w:t xml:space="preserve">Artificial Intelligence Applications</w:t>
      </w:r>
    </w:p>
    <w:p>
      <w:pPr>
        <w:numPr>
          <w:ilvl w:val="0"/>
          <w:numId w:val="2"/>
        </w:numPr>
      </w:pPr>
      <w:r>
        <w:rPr/>
        <w:t xml:space="preserve">Automated Decision Making Systems</w:t>
      </w:r>
    </w:p>
    <w:p>
      <w:pPr>
        <w:pStyle w:val="Heading1"/>
      </w:pPr>
      <w:bookmarkStart w:id="6" w:name="_Toc6"/>
      <w:r>
        <w:t>Report location:</w:t>
      </w:r>
      <w:bookmarkEnd w:id="6"/>
    </w:p>
    <w:p>
      <w:hyperlink r:id="rId8" w:history="1">
        <w:r>
          <w:rPr>
            <w:color w:val="2980b9"/>
            <w:u w:val="single"/>
          </w:rPr>
          <w:t xml:space="preserve">https://www.fullpicture.app/item/a240c70cb0f921dcd2a468b892e29be7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8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tsg.2018.2889347" TargetMode="External"/><Relationship Id="rId8" Type="http://schemas.openxmlformats.org/officeDocument/2006/relationships/hyperlink" Target="https://www.fullpicture.app/item/a240c70cb0f921dcd2a468b892e29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2023-02-28T01:14:44+01:00</dcterms:created>
  <dcterms:modified xsi:type="dcterms:W3CDTF">2023-02-28T01:14:44+01:00</dcterms:modified>
</cp:coreProperties>
</file>

<file path=docProps/custom.xml><?xml version="1.0" encoding="utf-8"?>
<Properties xmlns="http://schemas.openxmlformats.org/officeDocument/2006/custom-properties" xmlns:vt="http://schemas.openxmlformats.org/officeDocument/2006/docPropsVTypes"/>
</file>