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Multiplanar knee kinematics-based test battery helpfully guide return-to-sports decision-making after anterior cruciate ligament reconstruction - PubMed</w:t>
      </w:r>
      <w:br/>
      <w:hyperlink r:id="rId7" w:history="1">
        <w:r>
          <w:rPr>
            <w:color w:val="2980b9"/>
            <w:u w:val="single"/>
          </w:rPr>
          <w:t xml:space="preserve">https://pubmed.ncbi.nlm.nih.gov/36185444/</w:t>
        </w:r>
      </w:hyperlink>
    </w:p>
    <w:p>
      <w:pPr>
        <w:pStyle w:val="Heading1"/>
      </w:pPr>
      <w:bookmarkStart w:id="2" w:name="_Toc2"/>
      <w:r>
        <w:t>Article summary:</w:t>
      </w:r>
      <w:bookmarkEnd w:id="2"/>
    </w:p>
    <w:p>
      <w:pPr>
        <w:jc w:val="both"/>
      </w:pPr>
      <w:r>
        <w:rPr/>
        <w:t xml:space="preserve">1. A new test battery consisting of subjective and objective tests, especially multiplanar knee kinematics assessment, was developed to aid return-to-sports decision making after anterior cruciate ligament reconstruction.</w:t>
      </w:r>
    </w:p>
    <w:p>
      <w:pPr>
        <w:jc w:val="both"/>
      </w:pPr>
      <w:r>
        <w:rPr/>
        <w:t xml:space="preserve">2. Significant differences between affected and contralateral knees were observed in the quadriceps strength, hamstring strength, single hop distance, triple hop distance, and rotational ROM of knee kinematics.</w:t>
      </w:r>
    </w:p>
    <w:p>
      <w:pPr>
        <w:jc w:val="both"/>
      </w:pPr>
      <w:r>
        <w:rPr/>
        <w:t xml:space="preserve">3. At an average of 9 months after ACLR, objectively and subjectively measured knee functional performance was generally unsatisfactory especially the recovery of knee kinematics.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a comprehensive overview of the study conducted by Lan Zhou et al., which aimed to develop a new test battery consisting of subjective and objective tests to aid return-to-sports decision making after anterior cruciate ligament reconstruction (ACLR). The study was conducted with 30 patients who were assessed a mean of 9.2 ± 0.5 months after ACLR, providing sufficient evidence for the claims made in the article. Furthermore, all patients underwent complete evaluations of both lower limbs with four objective assessments [isokinetic, hop, knee laxity, and 6-degree of freedom (6DOF) knee kinematics tests] and two subjective assessments [International Knee Documentation Committee (IKDC) and Anterior Cruciate Ligament Return to Sport after Injury (ACL-RSI) questionnaires], ensuring that all aspects are taken into consideration when assessing the effectiveness of the test battery developed. </w:t>
      </w:r>
    </w:p>
    <w:p>
      <w:pPr>
        <w:jc w:val="both"/>
      </w:pPr>
      <w:r>
        <w:rPr/>
        <w:t xml:space="preserve">The article is also unbiased as it presents both sides equally without any promotional content or partiality towards one side over another. It also notes possible risks associated with ACLR such as unsatisfactory recovery of knee kinematics which may hinder return-to-sports decision making. However, there are some missing points of consideration such as potential confounding factors that may affect the results obtained from the tests conducted or other alternative methods that can be used to assess RTS decision making after ACLR which could have been explored further in order to provide more comprehensive insights into this topic.</w:t>
      </w:r>
    </w:p>
    <w:p>
      <w:pPr>
        <w:pStyle w:val="Heading1"/>
      </w:pPr>
      <w:bookmarkStart w:id="5" w:name="_Toc5"/>
      <w:r>
        <w:t>Topics for further research:</w:t>
      </w:r>
      <w:bookmarkEnd w:id="5"/>
    </w:p>
    <w:p>
      <w:pPr>
        <w:spacing w:after="0"/>
        <w:numPr>
          <w:ilvl w:val="0"/>
          <w:numId w:val="2"/>
        </w:numPr>
      </w:pPr>
      <w:r>
        <w:rPr/>
        <w:t xml:space="preserve">Risk factors associated with ACLR</w:t>
      </w:r>
    </w:p>
    <w:p>
      <w:pPr>
        <w:spacing w:after="0"/>
        <w:numPr>
          <w:ilvl w:val="0"/>
          <w:numId w:val="2"/>
        </w:numPr>
      </w:pPr>
      <w:r>
        <w:rPr/>
        <w:t xml:space="preserve">Alternative methods for return-to-sports decision making</w:t>
      </w:r>
    </w:p>
    <w:p>
      <w:pPr>
        <w:spacing w:after="0"/>
        <w:numPr>
          <w:ilvl w:val="0"/>
          <w:numId w:val="2"/>
        </w:numPr>
      </w:pPr>
      <w:r>
        <w:rPr/>
        <w:t xml:space="preserve">Confounding factors in ACLR assessment</w:t>
      </w:r>
    </w:p>
    <w:p>
      <w:pPr>
        <w:spacing w:after="0"/>
        <w:numPr>
          <w:ilvl w:val="0"/>
          <w:numId w:val="2"/>
        </w:numPr>
      </w:pPr>
      <w:r>
        <w:rPr/>
        <w:t xml:space="preserve">Knee kinematics after ACLR</w:t>
      </w:r>
    </w:p>
    <w:p>
      <w:pPr>
        <w:spacing w:after="0"/>
        <w:numPr>
          <w:ilvl w:val="0"/>
          <w:numId w:val="2"/>
        </w:numPr>
      </w:pPr>
      <w:r>
        <w:rPr/>
        <w:t xml:space="preserve">IKDC and ACL-RSI questionnaires</w:t>
      </w:r>
    </w:p>
    <w:p>
      <w:pPr>
        <w:numPr>
          <w:ilvl w:val="0"/>
          <w:numId w:val="2"/>
        </w:numPr>
      </w:pPr>
      <w:r>
        <w:rPr/>
        <w:t xml:space="preserve">Isokinetic, hop, and 6DOF tests for ACLR</w:t>
      </w:r>
    </w:p>
    <w:p>
      <w:pPr>
        <w:pStyle w:val="Heading1"/>
      </w:pPr>
      <w:bookmarkStart w:id="6" w:name="_Toc6"/>
      <w:r>
        <w:t>Report location:</w:t>
      </w:r>
      <w:bookmarkEnd w:id="6"/>
    </w:p>
    <w:p>
      <w:hyperlink r:id="rId8" w:history="1">
        <w:r>
          <w:rPr>
            <w:color w:val="2980b9"/>
            <w:u w:val="single"/>
          </w:rPr>
          <w:t xml:space="preserve">https://www.fullpicture.app/item/a368dd8509ab18a19509e5179524cdff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4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85444/" TargetMode="External"/><Relationship Id="rId8" Type="http://schemas.openxmlformats.org/officeDocument/2006/relationships/hyperlink" Target="https://www.fullpicture.app/item/a368dd8509ab18a19509e5179524cd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2023-02-24T06:05:50+01:00</dcterms:created>
  <dcterms:modified xsi:type="dcterms:W3CDTF">2023-02-24T06:05:50+01:00</dcterms:modified>
</cp:coreProperties>
</file>

<file path=docProps/custom.xml><?xml version="1.0" encoding="utf-8"?>
<Properties xmlns="http://schemas.openxmlformats.org/officeDocument/2006/custom-properties" xmlns:vt="http://schemas.openxmlformats.org/officeDocument/2006/docPropsVTypes"/>
</file>