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连续肾脏替代治疗期间局部柠檬酸盐抗凝与全身性肝素抗凝对急性肾损伤危重患者透析滤器寿命和死亡率的影响 - PMC</w:t>
      </w:r>
      <w:br/>
      <w:hyperlink r:id="rId7" w:history="1">
        <w:r>
          <w:rPr>
            <w:color w:val="2980b9"/>
            <w:u w:val="single"/>
          </w:rPr>
          <w:t xml:space="preserve">https://www.ncbi.nlm.nih.gov/pmc/articles/PMC7585036/</w:t>
        </w:r>
      </w:hyperlink>
    </w:p>
    <w:p>
      <w:pPr>
        <w:pStyle w:val="Heading1"/>
      </w:pPr>
      <w:bookmarkStart w:id="2" w:name="_Toc2"/>
      <w:r>
        <w:t>Article summary:</w:t>
      </w:r>
      <w:bookmarkEnd w:id="2"/>
    </w:p>
    <w:p>
      <w:pPr>
        <w:jc w:val="both"/>
      </w:pPr>
      <w:r>
        <w:rPr/>
        <w:t xml:space="preserve">1. 本研究比较了在急性肾损伤危重患者中，连续肾脏替代治疗期间局部柠檬酸盐抗凝与全身性肝素抗凝对透析滤器寿命和死亡率的影响。</w:t>
      </w:r>
    </w:p>
    <w:p>
      <w:pPr>
        <w:jc w:val="both"/>
      </w:pPr>
      <w:r>
        <w:rPr/>
        <w:t xml:space="preserve">2. 结果显示，与全身性肝素抗凝相比，局部柠檬酸盐抗凝治疗可以显著延长透析滤器的寿命。</w:t>
      </w:r>
    </w:p>
    <w:p>
      <w:pPr>
        <w:jc w:val="both"/>
      </w:pPr>
      <w:r>
        <w:rPr/>
        <w:t xml:space="preserve">3. 然而，由于试验提前终止，无法得出关于抗凝策略对死亡率的结论。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随机临床试验的结果，旨在比较连续肾脏替代治疗期间局部柠檬酸盐抗凝和全身性肝素抗凝对急性肾损伤危重患者透析滤器寿命和死亡率的影响。文章指出，与全身性肝素抗凝相比，局部柠檬酸盐抗凝治疗可以延长透析滤器的寿命，并且在90天内的死亡率没有显著差异。</w:t>
      </w:r>
    </w:p>
    <w:p>
      <w:pPr>
        <w:jc w:val="both"/>
      </w:pPr>
      <w:r>
        <w:rPr/>
        <w:t xml:space="preserve"/>
      </w:r>
    </w:p>
    <w:p>
      <w:pPr>
        <w:jc w:val="both"/>
      </w:pPr>
      <w:r>
        <w:rPr/>
        <w:t xml:space="preserve">然而，这篇文章存在一些潜在的偏见和问题。首先，该研究只包括德国26个中心的患者，可能存在地域限制性。其次，该研究提前终止，并且只有596名患者完成了试验，可能导致样本量不足。此外，在关于死亡率方面的结果中，并没有得出明确的结论，因为经过调整后的P值接近0.05。</w:t>
      </w:r>
    </w:p>
    <w:p>
      <w:pPr>
        <w:jc w:val="both"/>
      </w:pPr>
      <w:r>
        <w:rPr/>
        <w:t xml:space="preserve"/>
      </w:r>
    </w:p>
    <w:p>
      <w:pPr>
        <w:jc w:val="both"/>
      </w:pPr>
      <w:r>
        <w:rPr/>
        <w:t xml:space="preserve">此外，在报道中也存在一些片面性。文章强调了局部柠檬酸盐抗凝治疗相对于全身性肝素抗凝治疗在延长滤器寿命方面的优势，但并未提及其他可能的不良影响或风险。例如，局部柠檬酸盐抗凝治疗可能增加新感染的风险，但这一点在文章中没有得到充分探讨。</w:t>
      </w:r>
    </w:p>
    <w:p>
      <w:pPr>
        <w:jc w:val="both"/>
      </w:pPr>
      <w:r>
        <w:rPr/>
        <w:t xml:space="preserve"/>
      </w:r>
    </w:p>
    <w:p>
      <w:pPr>
        <w:jc w:val="both"/>
      </w:pPr>
      <w:r>
        <w:rPr/>
        <w:t xml:space="preserve">此外，文章中还存在一些缺失的考虑点。例如，该研究并未对患者的基线特征进行详细描述，如年龄、性别、疾病严重程度等。这些因素可能会对结果产生影响，但在文章中并未进行充分讨论。</w:t>
      </w:r>
    </w:p>
    <w:p>
      <w:pPr>
        <w:jc w:val="both"/>
      </w:pPr>
      <w:r>
        <w:rPr/>
        <w:t xml:space="preserve"/>
      </w:r>
    </w:p>
    <w:p>
      <w:pPr>
        <w:jc w:val="both"/>
      </w:pPr>
      <w:r>
        <w:rPr/>
        <w:t xml:space="preserve">最后，文章中提出了一些主张，但缺乏足够的证据支持。例如，在关于死亡率方面的结果中，并没有得出明确的结论，但作者仍然暗示局部柠檬酸盐抗凝治疗可能降低死亡率。这种主张需要更多的研究来验证。</w:t>
      </w:r>
    </w:p>
    <w:p>
      <w:pPr>
        <w:jc w:val="both"/>
      </w:pPr>
      <w:r>
        <w:rPr/>
        <w:t xml:space="preserve"/>
      </w:r>
    </w:p>
    <w:p>
      <w:pPr>
        <w:jc w:val="both"/>
      </w:pPr>
      <w:r>
        <w:rPr/>
        <w:t xml:space="preserve">总之，尽管这篇文章提供了有关连续肾脏替代治疗期间局部柠檬酸盐抗凝和全身性肝素抗凝对急性肾损伤危重患者透析滤器寿命和死亡率影响的初步结果，但它存在一些潜在的偏见和问题。进一步的研究和分析是必要的，以更全面地评估这两种抗凝治疗策略的效果和安全性。</w:t>
      </w:r>
    </w:p>
    <w:p>
      <w:pPr>
        <w:pStyle w:val="Heading1"/>
      </w:pPr>
      <w:bookmarkStart w:id="5" w:name="_Toc5"/>
      <w:r>
        <w:t>Topics for further research:</w:t>
      </w:r>
      <w:bookmarkEnd w:id="5"/>
    </w:p>
    <w:p>
      <w:pPr>
        <w:spacing w:after="0"/>
        <w:numPr>
          <w:ilvl w:val="0"/>
          <w:numId w:val="2"/>
        </w:numPr>
      </w:pPr>
      <w:r>
        <w:rPr/>
        <w:t xml:space="preserve">德国中心的患者
</w:t>
      </w:r>
    </w:p>
    <w:p>
      <w:pPr>
        <w:spacing w:after="0"/>
        <w:numPr>
          <w:ilvl w:val="0"/>
          <w:numId w:val="2"/>
        </w:numPr>
      </w:pPr>
      <w:r>
        <w:rPr/>
        <w:t xml:space="preserve">试验的样本量
</w:t>
      </w:r>
    </w:p>
    <w:p>
      <w:pPr>
        <w:spacing w:after="0"/>
        <w:numPr>
          <w:ilvl w:val="0"/>
          <w:numId w:val="2"/>
        </w:numPr>
      </w:pPr>
      <w:r>
        <w:rPr/>
        <w:t xml:space="preserve">其他不良影响或风险
</w:t>
      </w:r>
    </w:p>
    <w:p>
      <w:pPr>
        <w:spacing w:after="0"/>
        <w:numPr>
          <w:ilvl w:val="0"/>
          <w:numId w:val="2"/>
        </w:numPr>
      </w:pPr>
      <w:r>
        <w:rPr/>
        <w:t xml:space="preserve">患者的基线特征
</w:t>
      </w:r>
    </w:p>
    <w:p>
      <w:pPr>
        <w:spacing w:after="0"/>
        <w:numPr>
          <w:ilvl w:val="0"/>
          <w:numId w:val="2"/>
        </w:numPr>
      </w:pPr>
      <w:r>
        <w:rPr/>
        <w:t xml:space="preserve">死亡率的明确结论
</w:t>
      </w:r>
    </w:p>
    <w:p>
      <w:pPr>
        <w:numPr>
          <w:ilvl w:val="0"/>
          <w:numId w:val="2"/>
        </w:numPr>
      </w:pPr>
      <w:r>
        <w:rPr/>
        <w:t xml:space="preserve">更多的研究验证
通过进一步研究和分析这些关键短语，读者可以获得更全面的信息，以更好地评估这项研究的结果和结论的可靠性。</w:t>
      </w:r>
    </w:p>
    <w:p>
      <w:pPr>
        <w:pStyle w:val="Heading1"/>
      </w:pPr>
      <w:bookmarkStart w:id="6" w:name="_Toc6"/>
      <w:r>
        <w:t>Report location:</w:t>
      </w:r>
      <w:bookmarkEnd w:id="6"/>
    </w:p>
    <w:p>
      <w:hyperlink r:id="rId8" w:history="1">
        <w:r>
          <w:rPr>
            <w:color w:val="2980b9"/>
            <w:u w:val="single"/>
          </w:rPr>
          <w:t xml:space="preserve">https://www.fullpicture.app/item/a41e7c82ebd6e25bdc843d4a91f02843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7E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85036/" TargetMode="External"/><Relationship Id="rId8" Type="http://schemas.openxmlformats.org/officeDocument/2006/relationships/hyperlink" Target="https://www.fullpicture.app/item/a41e7c82ebd6e25bdc843d4a91f028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2024-04-23T23:30:01+02:00</dcterms:created>
  <dcterms:modified xsi:type="dcterms:W3CDTF">2024-04-23T23:30:01+02:00</dcterms:modified>
</cp:coreProperties>
</file>

<file path=docProps/custom.xml><?xml version="1.0" encoding="utf-8"?>
<Properties xmlns="http://schemas.openxmlformats.org/officeDocument/2006/custom-properties" xmlns:vt="http://schemas.openxmlformats.org/officeDocument/2006/docPropsVTypes"/>
</file>