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Protecting their digital assets: The use of formal &amp; informal appropriability strategies by App developers - ScienceDirect</w:t>
      </w:r>
      <w:br/>
      <w:hyperlink r:id="rId7" w:history="1">
        <w:r>
          <w:rPr>
            <w:color w:val="2980b9"/>
            <w:u w:val="single"/>
          </w:rPr>
          <w:t xml:space="preserve">https://www.sciencedirect.com/science/article/pii/S0048733319300204?via%3Dihub=</w:t>
        </w:r>
      </w:hyperlink>
    </w:p>
    <w:p>
      <w:pPr>
        <w:pStyle w:val="Heading1"/>
      </w:pPr>
      <w:bookmarkStart w:id="2" w:name="_Toc2"/>
      <w:r>
        <w:t>Article summary:</w:t>
      </w:r>
      <w:bookmarkEnd w:id="2"/>
    </w:p>
    <w:p>
      <w:pPr>
        <w:jc w:val="both"/>
      </w:pPr>
      <w:r>
        <w:rPr/>
        <w:t xml:space="preserve">1. 本文探讨数字平台上小型应用开发者如何保护和占有其创新价值的策略。</w:t>
      </w:r>
    </w:p>
    <w:p>
      <w:pPr>
        <w:jc w:val="both"/>
      </w:pPr>
      <w:r>
        <w:rPr/>
        <w:t xml:space="preserve">2. 数字平台的价值依赖于第三方补充创新，因此平台所有者努力降低开发成本，吸引更多小型开发者加入。</w:t>
      </w:r>
    </w:p>
    <w:p>
      <w:pPr>
        <w:jc w:val="both"/>
      </w:pPr>
      <w:r>
        <w:rPr/>
        <w:t xml:space="preserve">3. 小型开发者在数字平台上保护其创新的方式可能不同于大型企业，例如可能不会选择知识产权保护。这对于政策制定者和平台管理者来说都是重要问题。</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该文章提出了一个重要的问题，即第三方开发者如何保护和适当利用他们在数字平台上的创新。然而，该文章存在一些潜在的偏见和不足之处。</w:t>
      </w:r>
    </w:p>
    <w:p>
      <w:pPr>
        <w:jc w:val="both"/>
      </w:pPr>
      <w:r>
        <w:rPr/>
        <w:t xml:space="preserve"/>
      </w:r>
    </w:p>
    <w:p>
      <w:pPr>
        <w:jc w:val="both"/>
      </w:pPr>
      <w:r>
        <w:rPr/>
        <w:t xml:space="preserve">首先，该文章似乎假设知识产权是唯一或主要的适当性策略。然而，这种假设忽略了其他可能的策略，例如网络效应、品牌建设和专业知识积累等。此外，该文章没有探讨第三方开发者如何平衡知识产权保护和共享创新的需求。</w:t>
      </w:r>
    </w:p>
    <w:p>
      <w:pPr>
        <w:jc w:val="both"/>
      </w:pPr>
      <w:r>
        <w:rPr/>
        <w:t xml:space="preserve"/>
      </w:r>
    </w:p>
    <w:p>
      <w:pPr>
        <w:jc w:val="both"/>
      </w:pPr>
      <w:r>
        <w:rPr/>
        <w:t xml:space="preserve">其次，该文章没有考虑到数字平台上存在的风险和挑战。例如，数字平台可能会限制第三方开发者对用户数据的访问，并且可能会随时更改其API或服务条款。此外，在某些情况下，数字平台可能会将第三方开发者排除在竞争中。</w:t>
      </w:r>
    </w:p>
    <w:p>
      <w:pPr>
        <w:jc w:val="both"/>
      </w:pPr>
      <w:r>
        <w:rPr/>
        <w:t xml:space="preserve"/>
      </w:r>
    </w:p>
    <w:p>
      <w:pPr>
        <w:jc w:val="both"/>
      </w:pPr>
      <w:r>
        <w:rPr/>
        <w:t xml:space="preserve">最后，该文章没有充分探讨数字平台所有参与者之间的权力关系。特别是，在数字平台上，平台拥有者通常具有更大的市场力量和资源，并且可以通过控制API、数据和服务条款来影响第三方开发者。</w:t>
      </w:r>
    </w:p>
    <w:p>
      <w:pPr>
        <w:jc w:val="both"/>
      </w:pPr>
      <w:r>
        <w:rPr/>
        <w:t xml:space="preserve"/>
      </w:r>
    </w:p>
    <w:p>
      <w:pPr>
        <w:jc w:val="both"/>
      </w:pPr>
      <w:r>
        <w:rPr/>
        <w:t xml:space="preserve">因此，在评估数字平台上第三方开发者适当性策略时，需要考虑更广泛的因素，并且需要平衡知识产权保护和共享创新的需求。此外，需要更深入地探讨数字平台上所有参与者之间的权力关系。</w:t>
      </w:r>
    </w:p>
    <w:p>
      <w:pPr>
        <w:pStyle w:val="Heading1"/>
      </w:pPr>
      <w:bookmarkStart w:id="5" w:name="_Toc5"/>
      <w:r>
        <w:t>Topics for further research:</w:t>
      </w:r>
      <w:bookmarkEnd w:id="5"/>
    </w:p>
    <w:p>
      <w:pPr>
        <w:spacing w:after="0"/>
        <w:numPr>
          <w:ilvl w:val="0"/>
          <w:numId w:val="2"/>
        </w:numPr>
      </w:pPr>
      <w:r>
        <w:rPr/>
        <w:t xml:space="preserve">Other suitability strategies beyond intellectual property
</w:t>
      </w:r>
    </w:p>
    <w:p>
      <w:pPr>
        <w:spacing w:after="0"/>
        <w:numPr>
          <w:ilvl w:val="0"/>
          <w:numId w:val="2"/>
        </w:numPr>
      </w:pPr>
      <w:r>
        <w:rPr/>
        <w:t xml:space="preserve">Balancing intellectual property protection and innovation sharing
</w:t>
      </w:r>
    </w:p>
    <w:p>
      <w:pPr>
        <w:spacing w:after="0"/>
        <w:numPr>
          <w:ilvl w:val="0"/>
          <w:numId w:val="2"/>
        </w:numPr>
      </w:pPr>
      <w:r>
        <w:rPr/>
        <w:t xml:space="preserve">Risks and challenges of digital platforms for third-party developers
</w:t>
      </w:r>
    </w:p>
    <w:p>
      <w:pPr>
        <w:spacing w:after="0"/>
        <w:numPr>
          <w:ilvl w:val="0"/>
          <w:numId w:val="2"/>
        </w:numPr>
      </w:pPr>
      <w:r>
        <w:rPr/>
        <w:t xml:space="preserve">Exclusion of third-party developers from competition on digital platforms
</w:t>
      </w:r>
    </w:p>
    <w:p>
      <w:pPr>
        <w:spacing w:after="0"/>
        <w:numPr>
          <w:ilvl w:val="0"/>
          <w:numId w:val="2"/>
        </w:numPr>
      </w:pPr>
      <w:r>
        <w:rPr/>
        <w:t xml:space="preserve">Power dynamics among all participants on digital platforms
</w:t>
      </w:r>
    </w:p>
    <w:p>
      <w:pPr>
        <w:numPr>
          <w:ilvl w:val="0"/>
          <w:numId w:val="2"/>
        </w:numPr>
      </w:pPr>
      <w:r>
        <w:rPr/>
        <w:t xml:space="preserve">Need for a broader consideration of factors in evaluating suitability strategies for third-party developers on digital platforms</w:t>
      </w:r>
    </w:p>
    <w:p>
      <w:pPr>
        <w:pStyle w:val="Heading1"/>
      </w:pPr>
      <w:bookmarkStart w:id="6" w:name="_Toc6"/>
      <w:r>
        <w:t>Report location:</w:t>
      </w:r>
      <w:bookmarkEnd w:id="6"/>
    </w:p>
    <w:p>
      <w:hyperlink r:id="rId8" w:history="1">
        <w:r>
          <w:rPr>
            <w:color w:val="2980b9"/>
            <w:u w:val="single"/>
          </w:rPr>
          <w:t xml:space="preserve">https://www.fullpicture.app/item/a465a7cbd4daf2a5b30cb2e8b39416ce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150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048733319300204?via%3Dihub=" TargetMode="External"/><Relationship Id="rId8" Type="http://schemas.openxmlformats.org/officeDocument/2006/relationships/hyperlink" Target="https://www.fullpicture.app/item/a465a7cbd4daf2a5b30cb2e8b39416c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2023-12-10T05:10:52+01:00</dcterms:created>
  <dcterms:modified xsi:type="dcterms:W3CDTF">2023-12-10T05:10:52+01:00</dcterms:modified>
</cp:coreProperties>
</file>

<file path=docProps/custom.xml><?xml version="1.0" encoding="utf-8"?>
<Properties xmlns="http://schemas.openxmlformats.org/officeDocument/2006/custom-properties" xmlns:vt="http://schemas.openxmlformats.org/officeDocument/2006/docPropsVTypes"/>
</file>