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Real estate's case study on the Cape - Document - Gale General OneFile</w:t></w:r><w:br/><w:hyperlink r:id="rId7" w:history="1"><w:r><w:rPr><w:color w:val="2980b9"/><w:u w:val="single"/></w:rPr><w:t xml:space="preserve">https://go-gale-com.libproxy.ucl.ac.uk/ps/i.do?p=ITOF&u=ucl_ttda&id=GALE|A223201291&v=2.1&it=r</w:t></w:r></w:hyperlink></w:p><w:p><w:pPr><w:pStyle w:val="Heading1"/></w:pPr><w:bookmarkStart w:id="2" w:name="_Toc2"/><w:r><w:t>Article summary:</w:t></w:r><w:bookmarkEnd w:id="2"/></w:p><w:p><w:pPr><w:jc w:val="both"/></w:pPr><w:r><w:rPr/><w:t xml:space="preserve">1. The Cape Cod real estate market saw an increase in sales in March, with 511 sales of residential and commercial properties valued above $50,000.</w:t></w:r></w:p><w:p><w:pPr><w:jc w:val="both"/></w:pPr><w:r><w:rPr/><w:t xml:space="preserve">2. The median sales value of these properties was $271,033, up 2 percent from the midpoint price of $265,000 in the same month last year.</w:t></w:r></w:p><w:p><w:pPr><w:jc w:val="both"/></w:pPr><w:r><w:rPr/><w:t xml:space="preserve">3. Foreclosures are again rising due to a legal case known as the “Ibanez ruling” which requires lenders to prove they own the loan before foreclosing.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factual information about the Cape Cod real estate market and its recent trends. It cites sources such as Barnstable County Register of Deeds John Meade and Lynette Helms, president of the Cape Cod and Islands Association of Realtors, for their insights on the market. The article also mentions a legal case known as the “Ibanez ruling” which could be influencing foreclosure rates in the area. </w:t></w:r></w:p><w:p><w:pPr><w:jc w:val="both"/></w:pPr><w:r><w:rPr/><w:t xml:space="preserve">However, there are some potential biases that should be noted when reading this article. For example, it does not provide any counterarguments or explore any other possible explanations for why foreclosures may be increasing in the area besides the “Ibanez ruling” mentioned by Meade. Additionally, it does not mention any potential risks associated with investing in real estate in this area or present both sides of this issue equally. Therefore, readers should take these potential biases into consideration when reading this article.</w:t></w:r></w:p><w:p><w:pPr><w:pStyle w:val="Heading1"/></w:pPr><w:bookmarkStart w:id="5" w:name="_Toc5"/><w:r><w:t>Topics for further research:</w:t></w:r><w:bookmarkEnd w:id="5"/></w:p><w:p><w:pPr><w:spacing w:after="0"/><w:numPr><w:ilvl w:val="0"/><w:numId w:val="2"/></w:numPr></w:pPr><w:r><w:rPr/><w:t xml:space="preserve">Cape Cod real estate market trends</w:t></w:r></w:p><w:p><w:pPr><w:spacing w:after="0"/><w:numPr><w:ilvl w:val="0"/><w:numId w:val="2"/></w:numPr></w:pPr><w:r><w:rPr/><w:t xml:space="preserve">Cape Cod and Islands Association of Realtors</w:t></w:r></w:p><w:p><w:pPr><w:spacing w:after="0"/><w:numPr><w:ilvl w:val="0"/><w:numId w:val="2"/></w:numPr></w:pPr><w:r><w:rPr/><w:t xml:space="preserve">Ibanez ruling legal case</w:t></w:r></w:p><w:p><w:pPr><w:spacing w:after="0"/><w:numPr><w:ilvl w:val="0"/><w:numId w:val="2"/></w:numPr></w:pPr><w:r><w:rPr/><w:t xml:space="preserve">Foreclosure rates in Cape Cod</w:t></w:r></w:p><w:p><w:pPr><w:spacing w:after="0"/><w:numPr><w:ilvl w:val="0"/><w:numId w:val="2"/></w:numPr></w:pPr><w:r><w:rPr/><w:t xml:space="preserve">Investing in Cape Cod real estate</w:t></w:r></w:p><w:p><w:pPr><w:numPr><w:ilvl w:val="0"/><w:numId w:val="2"/></w:numPr></w:pPr><w:r><w:rPr/><w:t xml:space="preserve">Risks associated with Cape Cod real estate</w:t></w:r></w:p><w:p><w:pPr><w:pStyle w:val="Heading1"/></w:pPr><w:bookmarkStart w:id="6" w:name="_Toc6"/><w:r><w:t>Report location:</w:t></w:r><w:bookmarkEnd w:id="6"/></w:p><w:p><w:hyperlink r:id="rId8" w:history="1"><w:r><w:rPr><w:color w:val="2980b9"/><w:u w:val="single"/></w:rPr><w:t xml:space="preserve">https://www.fullpicture.app/item/a48128ff7bcaefc6c5fa7ed53665fe52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C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libproxy.ucl.ac.uk/ps/i.do?p=ITOF&amp;u=ucl_ttda&amp;id=GALE|A223201291&amp;v=2.1&amp;it=r" TargetMode="External"/><Relationship Id="rId8" Type="http://schemas.openxmlformats.org/officeDocument/2006/relationships/hyperlink" Target="https://www.fullpicture.app/item/a48128ff7bcaefc6c5fa7ed53665f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2023-02-23T23:34:45+01:00</dcterms:created>
  <dcterms:modified xsi:type="dcterms:W3CDTF">2023-02-23T23:34:45+01:00</dcterms:modified>
</cp:coreProperties>
</file>

<file path=docProps/custom.xml><?xml version="1.0" encoding="utf-8"?>
<Properties xmlns="http://schemas.openxmlformats.org/officeDocument/2006/custom-properties" xmlns:vt="http://schemas.openxmlformats.org/officeDocument/2006/docPropsVTypes"/>
</file>