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WADAC | Proceedings of the 11th ACM Conference on Security &amp; Privacy in Wireless and Mobile Networks</w:t>
      </w:r>
      <w:br/>
      <w:hyperlink r:id="rId7" w:history="1">
        <w:r>
          <w:rPr>
            <w:color w:val="2980b9"/>
            <w:u w:val="single"/>
          </w:rPr>
          <w:t xml:space="preserve">https://dl.acm.org/doi/10.1145/3212480.3212495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本文提出了一种检测附近无线设备应用层攻击的框架，该框架仅限于链路层流量。</w:t>
      </w:r>
    </w:p>
    <w:p>
      <w:pPr>
        <w:jc w:val="both"/>
      </w:pPr>
      <w:r>
        <w:rPr/>
        <w:t xml:space="preserve">2. 框架包括异常检测模块和攻击分类模块，可以识别已知的一组攻击。</w:t>
      </w:r>
    </w:p>
    <w:p>
      <w:pPr>
        <w:jc w:val="both"/>
      </w:pPr>
      <w:r>
        <w:rPr/>
        <w:t xml:space="preserve">3. 实验结果表明，该原型可以应用于不同的无线标准，并以96%-99%的准确率检测攻击。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检测附近无线设备应用层攻击的方案，但其存在一些潜在偏见和缺失考虑点。首先，文章没有明确说明其所使用的数据集是否具有代表性，因此可能存在样本偏差。其次，文章只关注了无线网络中的攻击行为，而忽略了其他可能的攻击手段，如物理攻击或社交工程等。此外，文章未探讨该方案可能带来的风险和隐私问题，并且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此外，在实验中使用的数据集可能存在片面报道和缺失考虑点。例如，在检测Mirai C＆C流量时，作者并未考虑到Mirai变种或其他恶意软件可能采取不同的通信方式来避免被检测。此外，在评估准确性时，作者也未考虑到误报率和漏报率等指标。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宣传内容和偏袒之嫌。例如，在描述其方案优势时，作者强调了其能够检测第三方网络中的攻击行为，并暗示其他相关研究需要通过有线窃听才能实现类似功能。这种比较方式可能会对其他研究造成不公正影响，并且忽略了其他研究所取得的进展和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综上所述，该文章提出了一个有趣的方案来检测无线网络中的应用层攻击行为，但需要更全面、客观地评估其有效性和可靠性，并注意到潜在风险和隐私问题。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数据集的代表性和样本偏差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其他可能的攻击手段的忽略
</w:t>
      </w:r>
    </w:p>
    <w:p>
      <w:pPr>
        <w:spacing w:after="0"/>
        <w:numPr>
          <w:ilvl w:val="0"/>
          <w:numId w:val="2"/>
        </w:numPr>
      </w:pPr>
      <w:r>
        <w:rPr/>
        <w:t xml:space="preserve">风险和隐私问题的缺失考虑
</w:t>
      </w:r>
    </w:p>
    <w:p>
      <w:pPr>
        <w:spacing w:after="0"/>
        <w:numPr>
          <w:ilvl w:val="0"/>
          <w:numId w:val="2"/>
        </w:numPr>
      </w:pPr>
      <w:r>
        <w:rPr/>
        <w:t xml:space="preserve">双方观点的平等呈现
</w:t>
      </w:r>
    </w:p>
    <w:p>
      <w:pPr>
        <w:spacing w:after="0"/>
        <w:numPr>
          <w:ilvl w:val="0"/>
          <w:numId w:val="2"/>
        </w:numPr>
      </w:pPr>
      <w:r>
        <w:rPr/>
        <w:t xml:space="preserve">实验中可能存在的片面报道和缺失考虑点
</w:t>
      </w:r>
    </w:p>
    <w:p>
      <w:pPr>
        <w:numPr>
          <w:ilvl w:val="0"/>
          <w:numId w:val="2"/>
        </w:numPr>
      </w:pPr>
      <w:r>
        <w:rPr/>
        <w:t xml:space="preserve">宣传内容和偏袒之嫌的存在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https://www.fullpicture.app/item/a6b7a2c7d74513a32aa3e1e84baf758f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5C8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145/3212480.3212495" TargetMode="External"/><Relationship Id="rId8" Type="http://schemas.openxmlformats.org/officeDocument/2006/relationships/hyperlink" Target="https://www.fullpicture.app/item/a6b7a2c7d74513a32aa3e1e84baf75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2023-12-09T15:06:33+01:00</dcterms:created>
  <dcterms:modified xsi:type="dcterms:W3CDTF">2023-12-09T15:06:33+01:00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