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nKX2-3 - Search Results - PubMed</w:t></w:r><w:br/><w:hyperlink r:id="rId7" w:history="1"><w:r><w:rPr><w:color w:val="2980b9"/><w:u w:val="single"/></w:rPr><w:t xml:space="preserve">https://pubmed.ncbi.nlm.nih.gov/?term=nKX2-3&sort=date</w:t></w:r></w:hyperlink></w:p><w:p><w:pPr><w:pStyle w:val="Heading1"/></w:pPr><w:bookmarkStart w:id="2" w:name="_Toc2"/><w:r><w:t>Article summary:</w:t></w:r><w:bookmarkEnd w:id="2"/></w:p><w:p><w:pPr><w:jc w:val="both"/></w:pPr><w:r><w:rPr/><w:t xml:space="preserve">1. NKX2-3 is a homeodomain protein that plays an important role in regulating mucosal endothelial addressin expression.</w:t></w:r></w:p><w:p><w:pPr><w:jc w:val="both"/></w:pPr><w:r><w:rPr/><w:t xml:space="preserve">2. DNA methylation and transcriptome analyses have been used to identify conserved NKX-COUP-TFII composite elements (NCCE) in regulatory regions of Madcam1 and St6gal1, which bind intestinal homeodomain protein NKX2-3 cooperatively with venous nuclear receptor COUP-TFII to activate transcription.</w:t></w:r></w:p><w:p><w:pPr><w:jc w:val="both"/></w:pPr><w:r><w:rPr/><w:t xml:space="preserve">3. Genetic loci and metabolic states associated with murine epigenetic aging have been identified, including genes associated with EAA in humans such as STXBP4, NKX2-3, and CUTC.</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through the use of DNA methylation and transcriptome analyses, as well as genetic loci and metabolic states associated with murine epigenetic aging. The article also cites relevant studies to support its claims, such as Dinh et al., Li et al., Mozhui et al., and Chen et al. Furthermore, the article does not appear to be biased or one-sided in its reporting; rather, it presents both sides of the argument equally by providing evidence for both sides of the argument.</w:t></w:r></w:p><w:p><w:pPr><w:jc w:val="both"/></w:pPr><w:r><w:rPr/><w:t xml:space="preserve">However, there are some potential areas of bias that should be noted. For example, the article does not explore any counterarguments or alternative explanations for its findings; instead it focuses solely on supporting its own claims without considering other perspectives or interpretations of the data presented. Additionally, while the article does cite relevant studies to support its claims, it does not provide any evidence for some of its more speculative statements or unsupported claims. Finally, while the article does present both sides of the argument equally, it does not provide any information about possible risks associated with NKX2-3 or other related proteins; this could lead readers to believe that these proteins are completely safe when this may not necessarily be true.</w:t></w:r></w:p><w:p><w:pPr><w:pStyle w:val="Heading1"/></w:pPr><w:bookmarkStart w:id="5" w:name="_Toc5"/><w:r><w:t>Topics for further research:</w:t></w:r><w:bookmarkEnd w:id="5"/></w:p><w:p><w:pPr><w:spacing w:after="0"/><w:numPr><w:ilvl w:val="0"/><w:numId w:val="2"/></w:numPr></w:pPr><w:r><w:rPr/><w:t xml:space="preserve">NKX2-3 protein risks</w:t></w:r></w:p><w:p><w:pPr><w:spacing w:after="0"/><w:numPr><w:ilvl w:val="0"/><w:numId w:val="2"/></w:numPr></w:pPr><w:r><w:rPr/><w:t xml:space="preserve">Alternative explanations for epigenetic aging</w:t></w:r></w:p><w:p><w:pPr><w:spacing w:after="0"/><w:numPr><w:ilvl w:val="0"/><w:numId w:val="2"/></w:numPr></w:pPr><w:r><w:rPr/><w:t xml:space="preserve">Murine epigenetic aging studies</w:t></w:r></w:p><w:p><w:pPr><w:spacing w:after="0"/><w:numPr><w:ilvl w:val="0"/><w:numId w:val="2"/></w:numPr></w:pPr><w:r><w:rPr/><w:t xml:space="preserve">DNA methylation and transcriptome analyses</w:t></w:r></w:p><w:p><w:pPr><w:spacing w:after="0"/><w:numPr><w:ilvl w:val="0"/><w:numId w:val="2"/></w:numPr></w:pPr><w:r><w:rPr/><w:t xml:space="preserve">Genetic loci and metabolic states associated with epigenetic aging</w:t></w:r></w:p><w:p><w:pPr><w:numPr><w:ilvl w:val="0"/><w:numId w:val="2"/></w:numPr></w:pPr><w:r><w:rPr/><w:t xml:space="preserve">Counterarguments to epigenetic aging theories</w:t></w:r></w:p><w:p><w:pPr><w:pStyle w:val="Heading1"/></w:pPr><w:bookmarkStart w:id="6" w:name="_Toc6"/><w:r><w:t>Report location:</w:t></w:r><w:bookmarkEnd w:id="6"/></w:p><w:p><w:hyperlink r:id="rId8" w:history="1"><w:r><w:rPr><w:color w:val="2980b9"/><w:u w:val="single"/></w:rPr><w:t xml:space="preserve">https://www.fullpicture.app/item/a6df5e14b75803d70f9bbf159b8e0478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90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nKX2-3&amp;sort=date" TargetMode="External"/><Relationship Id="rId8" Type="http://schemas.openxmlformats.org/officeDocument/2006/relationships/hyperlink" Target="https://www.fullpicture.app/item/a6df5e14b75803d70f9bbf159b8e04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2023-03-05T17:14:01+01:00</dcterms:created>
  <dcterms:modified xsi:type="dcterms:W3CDTF">2023-03-05T17:14:01+01:00</dcterms:modified>
</cp:coreProperties>
</file>

<file path=docProps/custom.xml><?xml version="1.0" encoding="utf-8"?>
<Properties xmlns="http://schemas.openxmlformats.org/officeDocument/2006/custom-properties" xmlns:vt="http://schemas.openxmlformats.org/officeDocument/2006/docPropsVTypes"/>
</file>