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 investors pay a premium for going green? Evidence from alternative energy mutual funds - ScienceDirect</w:t>
      </w:r>
      <w:br/>
      <w:hyperlink r:id="rId7" w:history="1">
        <w:r>
          <w:rPr>
            <w:color w:val="2980b9"/>
            <w:u w:val="single"/>
          </w:rPr>
          <w:t xml:space="preserve">https://vpn.jlu.edu.cn/https/44696469646131313237446964696461bd6feb2610cba212c258e268de7790f17702c29fe5/science/article/pii/S1364032117301600?via%3Dihub=</w:t>
        </w:r>
      </w:hyperlink>
    </w:p>
    <w:p>
      <w:pPr>
        <w:pStyle w:val="Heading1"/>
      </w:pPr>
      <w:bookmarkStart w:id="2" w:name="_Toc2"/>
      <w:r>
        <w:t>Article summary:</w:t>
      </w:r>
      <w:bookmarkEnd w:id="2"/>
    </w:p>
    <w:p>
      <w:pPr>
        <w:jc w:val="both"/>
      </w:pPr>
      <w:r>
        <w:rPr/>
        <w:t xml:space="preserve">1. Deployment of renewable energies has been a recent policy focus for many economies, resulting in fast growth and increased investment in the sector.</w:t>
      </w:r>
    </w:p>
    <w:p>
      <w:pPr>
        <w:jc w:val="both"/>
      </w:pPr>
      <w:r>
        <w:rPr/>
        <w:t xml:space="preserve">2. Alternative energy mutual funds have gained popularity as investment vehicles, but incorporating renewable energy criteria may negatively affect financial performance.</w:t>
      </w:r>
    </w:p>
    <w:p>
      <w:pPr>
        <w:jc w:val="both"/>
      </w:pPr>
      <w:r>
        <w:rPr/>
        <w:t xml:space="preserve">3. There is debate over whether renewable energy screening restricts diversification opportunities or allows for identification of alternative energy companies with higher potential returns and better management.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该文章主要探讨了投资者是否愿意为绿色投资支付溢价，并分析了替代能源互惠基金的财务表现。然而，该文章存在一些潜在的偏见和不足之处。</w:t>
      </w:r>
    </w:p>
    <w:p>
      <w:pPr>
        <w:jc w:val="both"/>
      </w:pPr>
      <w:r>
        <w:rPr/>
        <w:t xml:space="preserve"/>
      </w:r>
    </w:p>
    <w:p>
      <w:pPr>
        <w:jc w:val="both"/>
      </w:pPr>
      <w:r>
        <w:rPr/>
        <w:t xml:space="preserve">首先，该文章没有充分考虑到可再生能源行业的风险。尽管可再生能源是未来发展的方向，但它仍然面临着政策、技术和市场等多种风险。因此，在进行投资决策时，需要对这些风险进行全面评估。</w:t>
      </w:r>
    </w:p>
    <w:p>
      <w:pPr>
        <w:jc w:val="both"/>
      </w:pPr>
      <w:r>
        <w:rPr/>
        <w:t xml:space="preserve"/>
      </w:r>
    </w:p>
    <w:p>
      <w:pPr>
        <w:jc w:val="both"/>
      </w:pPr>
      <w:r>
        <w:rPr/>
        <w:t xml:space="preserve">其次，该文章没有提供足够的证据来支持其主张。例如，它声称绿色能源互惠基金可能会限制下行/上行风险，但并没有提供具体数据或案例来证明这一点。</w:t>
      </w:r>
    </w:p>
    <w:p>
      <w:pPr>
        <w:jc w:val="both"/>
      </w:pPr>
      <w:r>
        <w:rPr/>
        <w:t xml:space="preserve"/>
      </w:r>
    </w:p>
    <w:p>
      <w:pPr>
        <w:jc w:val="both"/>
      </w:pPr>
      <w:r>
        <w:rPr/>
        <w:t xml:space="preserve">此外，该文章可能存在一定程度的偏袒。它只关注了绿色能源互惠基金与其他公司投资基金和社会责任投资基金之间的比较，并没有探讨其他类型的投资工具或策略。因此，在评估绿色投资是否值得时，需要考虑更广泛的因素。</w:t>
      </w:r>
    </w:p>
    <w:p>
      <w:pPr>
        <w:jc w:val="both"/>
      </w:pPr>
      <w:r>
        <w:rPr/>
        <w:t xml:space="preserve"/>
      </w:r>
    </w:p>
    <w:p>
      <w:pPr>
        <w:jc w:val="both"/>
      </w:pPr>
      <w:r>
        <w:rPr/>
        <w:t xml:space="preserve">最后，该文章可能存在一些宣传内容。尽管它试图提供客观分析和数据支持，但仍然强调了绿色投资的优势和重要性，可能会对读者产生一定的影响。</w:t>
      </w:r>
    </w:p>
    <w:p>
      <w:pPr>
        <w:jc w:val="both"/>
      </w:pPr>
      <w:r>
        <w:rPr/>
        <w:t xml:space="preserve"/>
      </w:r>
    </w:p>
    <w:p>
      <w:pPr>
        <w:jc w:val="both"/>
      </w:pPr>
      <w:r>
        <w:rPr/>
        <w:t xml:space="preserve">综上所述，该文章虽然提供了一些有价值的信息和分析，但仍然存在一些潜在的偏见和不足之处。在进行绿色投资决策时，需要考虑更广泛的因素，并进行全面评估。</w:t>
      </w:r>
    </w:p>
    <w:p>
      <w:pPr>
        <w:pStyle w:val="Heading1"/>
      </w:pPr>
      <w:bookmarkStart w:id="5" w:name="_Toc5"/>
      <w:r>
        <w:t>Topics for further research:</w:t>
      </w:r>
      <w:bookmarkEnd w:id="5"/>
    </w:p>
    <w:p>
      <w:pPr>
        <w:spacing w:after="0"/>
        <w:numPr>
          <w:ilvl w:val="0"/>
          <w:numId w:val="2"/>
        </w:numPr>
      </w:pPr>
      <w:r>
        <w:rPr/>
        <w:t xml:space="preserve">Renewable energy industry risks
</w:t>
      </w:r>
    </w:p>
    <w:p>
      <w:pPr>
        <w:spacing w:after="0"/>
        <w:numPr>
          <w:ilvl w:val="0"/>
          <w:numId w:val="2"/>
        </w:numPr>
      </w:pPr>
      <w:r>
        <w:rPr/>
        <w:t xml:space="preserve">Evidence supporting claims
</w:t>
      </w:r>
    </w:p>
    <w:p>
      <w:pPr>
        <w:spacing w:after="0"/>
        <w:numPr>
          <w:ilvl w:val="0"/>
          <w:numId w:val="2"/>
        </w:numPr>
      </w:pPr>
      <w:r>
        <w:rPr/>
        <w:t xml:space="preserve">Comparison with other investment tools/strategies
</w:t>
      </w:r>
    </w:p>
    <w:p>
      <w:pPr>
        <w:spacing w:after="0"/>
        <w:numPr>
          <w:ilvl w:val="0"/>
          <w:numId w:val="2"/>
        </w:numPr>
      </w:pPr>
      <w:r>
        <w:rPr/>
        <w:t xml:space="preserve">Potential bias
</w:t>
      </w:r>
    </w:p>
    <w:p>
      <w:pPr>
        <w:spacing w:after="0"/>
        <w:numPr>
          <w:ilvl w:val="0"/>
          <w:numId w:val="2"/>
        </w:numPr>
      </w:pPr>
      <w:r>
        <w:rPr/>
        <w:t xml:space="preserve">Other factors to consider in green investment decisions
</w:t>
      </w:r>
    </w:p>
    <w:p>
      <w:pPr>
        <w:numPr>
          <w:ilvl w:val="0"/>
          <w:numId w:val="2"/>
        </w:numPr>
      </w:pPr>
      <w:r>
        <w:rPr/>
        <w:t xml:space="preserve">Comprehensive evaluation of green investments</w:t>
      </w:r>
    </w:p>
    <w:p>
      <w:pPr>
        <w:pStyle w:val="Heading1"/>
      </w:pPr>
      <w:bookmarkStart w:id="6" w:name="_Toc6"/>
      <w:r>
        <w:t>Report location:</w:t>
      </w:r>
      <w:bookmarkEnd w:id="6"/>
    </w:p>
    <w:p>
      <w:hyperlink r:id="rId8" w:history="1">
        <w:r>
          <w:rPr>
            <w:color w:val="2980b9"/>
            <w:u w:val="single"/>
          </w:rPr>
          <w:t xml:space="preserve">https://www.fullpicture.app/item/a74e26a27dea7557dd93deb13ede2b56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CBD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44696469646131313237446964696461bd6feb2610cba212c258e268de7790f17702c29fe5/science/article/pii/S1364032117301600?via%3Dihub=" TargetMode="External"/><Relationship Id="rId8" Type="http://schemas.openxmlformats.org/officeDocument/2006/relationships/hyperlink" Target="https://www.fullpicture.app/item/a74e26a27dea7557dd93deb13ede2b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2024-01-07T11:10:22+01:00</dcterms:created>
  <dcterms:modified xsi:type="dcterms:W3CDTF">2024-01-07T11:10:22+01:00</dcterms:modified>
</cp:coreProperties>
</file>

<file path=docProps/custom.xml><?xml version="1.0" encoding="utf-8"?>
<Properties xmlns="http://schemas.openxmlformats.org/officeDocument/2006/custom-properties" xmlns:vt="http://schemas.openxmlformats.org/officeDocument/2006/docPropsVTypes"/>
</file>