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Etsy, Inc. (ETSY) Q4 2022 Earnings Call Transcript | Seeking Alpha</w:t>
      </w:r>
      <w:br/>
      <w:hyperlink r:id="rId7" w:history="1">
        <w:r>
          <w:rPr>
            <w:color w:val="2980b9"/>
            <w:u w:val="single"/>
          </w:rPr>
          <w:t xml:space="preserve">https://seekingalpha.com/article/4580918-etsy-inc-etsy-q4-2022-earnings-call-transcript</w:t>
        </w:r>
      </w:hyperlink>
    </w:p>
    <w:p>
      <w:pPr>
        <w:pStyle w:val="Heading1"/>
      </w:pPr>
      <w:bookmarkStart w:id="2" w:name="_Toc2"/>
      <w:r>
        <w:t>Article summary:</w:t>
      </w:r>
      <w:bookmarkEnd w:id="2"/>
    </w:p>
    <w:p>
      <w:pPr>
        <w:jc w:val="both"/>
      </w:pPr>
      <w:r>
        <w:rPr/>
        <w:t xml:space="preserve">1. Etsy had a strong fourth quarter and full-year performance in 2022, with record revenue of $2.6 billion and non-GAAP adjusted EBITDA of about $717 million.</w:t>
      </w:r>
    </w:p>
    <w:p>
      <w:pPr>
        <w:jc w:val="both"/>
      </w:pPr>
      <w:r>
        <w:rPr/>
        <w:t xml:space="preserve">2. Etsy has made significant progress in its Right to Win strategy, investing in product, marketing, technology, and people to improve customer experiences and meet financial targets.</w:t>
      </w:r>
    </w:p>
    <w:p>
      <w:pPr>
        <w:jc w:val="both"/>
      </w:pPr>
      <w:r>
        <w:rPr/>
        <w:t xml:space="preserve">3. Etsy has also made excellent progress on its ESG goals and provided support for sellers impacted by natural disasters.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detailed information about the company's performance in 2022, its Right to Win strategy, and its ESG goals. The article is well-sourced with links to the company's SEC filings for further reference. It also provides concrete examples of how the company has improved customer experiences through investments in product, marketing, technology, and people. Furthermore, it mentions the company's efforts to provide support for sellers impacted by natural disasters.</w:t>
      </w:r>
    </w:p>
    <w:p>
      <w:pPr>
        <w:jc w:val="both"/>
      </w:pPr>
      <w:r>
        <w:rPr/>
        <w:t xml:space="preserve">However, there are some potential biases that should be noted when reading this article. For example, the article does not explore any counterarguments or present any opposing views on the company's performance or strategies. Additionally, it does not mention any possible risks associated with these strategies or their potential impacts on customers or sellers. Finally, while the article does provide some evidence for its claims (such as metrics related to collections), it does not provide evidence for all of them (such as metrics related to brand awareness). Therefore readers should take these points into consideration when evaluating the trustworthiness of this article.</w:t>
      </w:r>
    </w:p>
    <w:p>
      <w:pPr>
        <w:pStyle w:val="Heading1"/>
      </w:pPr>
      <w:bookmarkStart w:id="5" w:name="_Toc5"/>
      <w:r>
        <w:t>Topics for further research:</w:t>
      </w:r>
      <w:bookmarkEnd w:id="5"/>
    </w:p>
    <w:p>
      <w:pPr>
        <w:spacing w:after="0"/>
        <w:numPr>
          <w:ilvl w:val="0"/>
          <w:numId w:val="2"/>
        </w:numPr>
      </w:pPr>
      <w:r>
        <w:rPr/>
        <w:t xml:space="preserve">Counterarguments to Right to Win strategy</w:t>
      </w:r>
    </w:p>
    <w:p>
      <w:pPr>
        <w:spacing w:after="0"/>
        <w:numPr>
          <w:ilvl w:val="0"/>
          <w:numId w:val="2"/>
        </w:numPr>
      </w:pPr>
      <w:r>
        <w:rPr/>
        <w:t xml:space="preserve">Risks associated with ESG goals</w:t>
      </w:r>
    </w:p>
    <w:p>
      <w:pPr>
        <w:spacing w:after="0"/>
        <w:numPr>
          <w:ilvl w:val="0"/>
          <w:numId w:val="2"/>
        </w:numPr>
      </w:pPr>
      <w:r>
        <w:rPr/>
        <w:t xml:space="preserve">Impact of investments on customer experience</w:t>
      </w:r>
    </w:p>
    <w:p>
      <w:pPr>
        <w:spacing w:after="0"/>
        <w:numPr>
          <w:ilvl w:val="0"/>
          <w:numId w:val="2"/>
        </w:numPr>
      </w:pPr>
      <w:r>
        <w:rPr/>
        <w:t xml:space="preserve">Metrics for brand awareness</w:t>
      </w:r>
    </w:p>
    <w:p>
      <w:pPr>
        <w:spacing w:after="0"/>
        <w:numPr>
          <w:ilvl w:val="0"/>
          <w:numId w:val="2"/>
        </w:numPr>
      </w:pPr>
      <w:r>
        <w:rPr/>
        <w:t xml:space="preserve">Seller support for natural disasters</w:t>
      </w:r>
    </w:p>
    <w:p>
      <w:pPr>
        <w:numPr>
          <w:ilvl w:val="0"/>
          <w:numId w:val="2"/>
        </w:numPr>
      </w:pPr>
      <w:r>
        <w:rPr/>
        <w:t xml:space="preserve">Potential impacts of strategies on customers and sellers</w:t>
      </w:r>
    </w:p>
    <w:p>
      <w:pPr>
        <w:pStyle w:val="Heading1"/>
      </w:pPr>
      <w:bookmarkStart w:id="6" w:name="_Toc6"/>
      <w:r>
        <w:t>Report location:</w:t>
      </w:r>
      <w:bookmarkEnd w:id="6"/>
    </w:p>
    <w:p>
      <w:hyperlink r:id="rId8" w:history="1">
        <w:r>
          <w:rPr>
            <w:color w:val="2980b9"/>
            <w:u w:val="single"/>
          </w:rPr>
          <w:t xml:space="preserve">https://www.fullpicture.app/item/a8802799da561e436db01fd5e0c35853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E2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ekingalpha.com/article/4580918-etsy-inc-etsy-q4-2022-earnings-call-transcript" TargetMode="External"/><Relationship Id="rId8" Type="http://schemas.openxmlformats.org/officeDocument/2006/relationships/hyperlink" Target="https://www.fullpicture.app/item/a8802799da561e436db01fd5e0c358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2023-03-05T17:16:16+01:00</dcterms:created>
  <dcterms:modified xsi:type="dcterms:W3CDTF">2023-03-05T17:16:16+01:00</dcterms:modified>
</cp:coreProperties>
</file>

<file path=docProps/custom.xml><?xml version="1.0" encoding="utf-8"?>
<Properties xmlns="http://schemas.openxmlformats.org/officeDocument/2006/custom-properties" xmlns:vt="http://schemas.openxmlformats.org/officeDocument/2006/docPropsVTypes"/>
</file>